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20BC" w14:textId="0F1F3B42" w:rsidR="00927487" w:rsidRPr="004660A7" w:rsidRDefault="004660A7" w:rsidP="004660A7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660A7">
        <w:rPr>
          <w:rFonts w:ascii="微软雅黑" w:eastAsia="微软雅黑" w:hAnsi="微软雅黑" w:hint="eastAsia"/>
          <w:b/>
          <w:bCs/>
          <w:sz w:val="28"/>
          <w:szCs w:val="28"/>
        </w:rPr>
        <w:t>2</w:t>
      </w:r>
      <w:r w:rsidRPr="004660A7">
        <w:rPr>
          <w:rFonts w:ascii="微软雅黑" w:eastAsia="微软雅黑" w:hAnsi="微软雅黑"/>
          <w:b/>
          <w:bCs/>
          <w:sz w:val="28"/>
          <w:szCs w:val="28"/>
        </w:rPr>
        <w:t>023</w:t>
      </w:r>
      <w:r w:rsidRPr="004660A7">
        <w:rPr>
          <w:rFonts w:ascii="微软雅黑" w:eastAsia="微软雅黑" w:hAnsi="微软雅黑" w:hint="eastAsia"/>
          <w:b/>
          <w:bCs/>
          <w:sz w:val="28"/>
          <w:szCs w:val="28"/>
        </w:rPr>
        <w:t>年执业药师《中药学综合知识与技能》大纲最新变动汇总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1980"/>
        <w:gridCol w:w="2548"/>
        <w:gridCol w:w="5410"/>
      </w:tblGrid>
      <w:tr w:rsidR="0002083A" w:rsidRPr="0052581A" w14:paraId="5F386B2B" w14:textId="77777777" w:rsidTr="00595730">
        <w:tc>
          <w:tcPr>
            <w:tcW w:w="1980" w:type="dxa"/>
            <w:shd w:val="clear" w:color="auto" w:fill="F2F2F2" w:themeFill="background1" w:themeFillShade="F2"/>
          </w:tcPr>
          <w:p w14:paraId="732FC24B" w14:textId="31019437" w:rsidR="0002083A" w:rsidRPr="0052581A" w:rsidRDefault="0002083A" w:rsidP="00927487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章节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025A5216" w14:textId="17BFEC62" w:rsidR="0002083A" w:rsidRPr="0052581A" w:rsidRDefault="0002083A" w:rsidP="00927487">
            <w:pPr>
              <w:spacing w:line="240" w:lineRule="auto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知识点</w:t>
            </w:r>
          </w:p>
        </w:tc>
        <w:tc>
          <w:tcPr>
            <w:tcW w:w="5410" w:type="dxa"/>
            <w:shd w:val="clear" w:color="auto" w:fill="F2F2F2" w:themeFill="background1" w:themeFillShade="F2"/>
          </w:tcPr>
          <w:p w14:paraId="7D8B2C88" w14:textId="008ED3A7" w:rsidR="0002083A" w:rsidRPr="0052581A" w:rsidRDefault="0002083A" w:rsidP="00927487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2</w:t>
            </w:r>
            <w:r w:rsidRPr="0052581A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3</w:t>
            </w:r>
            <w:r w:rsidRPr="0052581A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年变动</w:t>
            </w:r>
          </w:p>
        </w:tc>
      </w:tr>
      <w:tr w:rsidR="0002083A" w:rsidRPr="0052581A" w14:paraId="5C3AC4D8" w14:textId="77777777" w:rsidTr="00595730">
        <w:tc>
          <w:tcPr>
            <w:tcW w:w="1980" w:type="dxa"/>
          </w:tcPr>
          <w:p w14:paraId="1E395B22" w14:textId="77777777" w:rsidR="00927487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 xml:space="preserve">第二章 </w:t>
            </w: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 xml:space="preserve"> </w:t>
            </w:r>
          </w:p>
          <w:p w14:paraId="31216B82" w14:textId="7B7A4F19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中医理论基础</w:t>
            </w:r>
          </w:p>
          <w:p w14:paraId="127443F0" w14:textId="49CEAACF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第四节</w:t>
            </w:r>
            <w:r w:rsidRPr="0052581A">
              <w:rPr>
                <w:rFonts w:ascii="微软雅黑" w:eastAsia="微软雅黑" w:hAnsi="微软雅黑" w:hint="eastAsia"/>
              </w:rPr>
              <w:t xml:space="preserve"> 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  <w:r w:rsidRPr="0052581A">
              <w:rPr>
                <w:rFonts w:ascii="微软雅黑" w:eastAsia="微软雅黑" w:hAnsi="微软雅黑" w:hint="eastAsia"/>
              </w:rPr>
              <w:t>藏象</w:t>
            </w:r>
          </w:p>
        </w:tc>
        <w:tc>
          <w:tcPr>
            <w:tcW w:w="2548" w:type="dxa"/>
          </w:tcPr>
          <w:p w14:paraId="5BED004E" w14:textId="77777777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一、五脏</w:t>
            </w:r>
          </w:p>
          <w:p w14:paraId="06D50B67" w14:textId="0FEF1939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脾主运化</w:t>
            </w:r>
          </w:p>
        </w:tc>
        <w:tc>
          <w:tcPr>
            <w:tcW w:w="5410" w:type="dxa"/>
          </w:tcPr>
          <w:p w14:paraId="07F1A45A" w14:textId="5B2780DA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脾气的运化功能正常，称为“脾气健运”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减退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（删除减退）</w:t>
            </w:r>
          </w:p>
        </w:tc>
      </w:tr>
      <w:tr w:rsidR="0002083A" w:rsidRPr="0052581A" w14:paraId="0863BCF2" w14:textId="77777777" w:rsidTr="00595730">
        <w:tc>
          <w:tcPr>
            <w:tcW w:w="1980" w:type="dxa"/>
          </w:tcPr>
          <w:p w14:paraId="559E7C7E" w14:textId="187B9C05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第七节</w:t>
            </w:r>
            <w:r w:rsidRPr="0052581A">
              <w:rPr>
                <w:rFonts w:ascii="微软雅黑" w:eastAsia="微软雅黑" w:hAnsi="微软雅黑" w:hint="eastAsia"/>
              </w:rPr>
              <w:t xml:space="preserve"> 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  <w:r w:rsidRPr="0052581A">
              <w:rPr>
                <w:rFonts w:ascii="微软雅黑" w:eastAsia="微软雅黑" w:hAnsi="微软雅黑" w:hint="eastAsia"/>
              </w:rPr>
              <w:t>体质</w:t>
            </w:r>
          </w:p>
        </w:tc>
        <w:tc>
          <w:tcPr>
            <w:tcW w:w="2548" w:type="dxa"/>
          </w:tcPr>
          <w:p w14:paraId="5E458ABD" w14:textId="1C61A542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一、体质构成要素与分类</w:t>
            </w:r>
          </w:p>
          <w:p w14:paraId="7FD1DD97" w14:textId="1B0F9827" w:rsidR="0002083A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（二）</w:t>
            </w:r>
            <w:r w:rsidR="0002083A" w:rsidRPr="0052581A">
              <w:rPr>
                <w:rFonts w:ascii="微软雅黑" w:eastAsia="微软雅黑" w:hAnsi="微软雅黑"/>
              </w:rPr>
              <w:t>体质的分类</w:t>
            </w:r>
          </w:p>
        </w:tc>
        <w:tc>
          <w:tcPr>
            <w:tcW w:w="5410" w:type="dxa"/>
          </w:tcPr>
          <w:p w14:paraId="6A884248" w14:textId="71C40BEE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人体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正常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（删除正常）</w:t>
            </w:r>
            <w:r w:rsidRPr="0052581A">
              <w:rPr>
                <w:rFonts w:ascii="微软雅黑" w:eastAsia="微软雅黑" w:hAnsi="微软雅黑"/>
              </w:rPr>
              <w:t>体质大致可分为阴阳平和质、偏阳质、偏阴质三种类型</w:t>
            </w:r>
          </w:p>
        </w:tc>
      </w:tr>
      <w:tr w:rsidR="0002083A" w:rsidRPr="0052581A" w14:paraId="671B1804" w14:textId="77777777" w:rsidTr="00595730">
        <w:tc>
          <w:tcPr>
            <w:tcW w:w="1980" w:type="dxa"/>
          </w:tcPr>
          <w:p w14:paraId="10CE1CB8" w14:textId="77777777" w:rsidR="00927487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第三章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 xml:space="preserve"> </w:t>
            </w: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 xml:space="preserve"> </w:t>
            </w:r>
          </w:p>
          <w:p w14:paraId="11731CD9" w14:textId="1969F44E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中医诊断基础</w:t>
            </w:r>
          </w:p>
          <w:p w14:paraId="75543BE5" w14:textId="772529AC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第二节</w:t>
            </w:r>
            <w:r w:rsidRPr="0052581A">
              <w:rPr>
                <w:rFonts w:ascii="微软雅黑" w:eastAsia="微软雅黑" w:hAnsi="微软雅黑" w:hint="eastAsia"/>
              </w:rPr>
              <w:t xml:space="preserve"> 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  <w:r w:rsidRPr="0052581A">
              <w:rPr>
                <w:rFonts w:ascii="微软雅黑" w:eastAsia="微软雅黑" w:hAnsi="微软雅黑" w:hint="eastAsia"/>
              </w:rPr>
              <w:t>四</w:t>
            </w:r>
            <w:r w:rsidRPr="0052581A">
              <w:rPr>
                <w:rFonts w:ascii="微软雅黑" w:eastAsia="微软雅黑" w:hAnsi="微软雅黑" w:hint="eastAsia"/>
              </w:rPr>
              <w:t>诊</w:t>
            </w:r>
          </w:p>
        </w:tc>
        <w:tc>
          <w:tcPr>
            <w:tcW w:w="2548" w:type="dxa"/>
          </w:tcPr>
          <w:p w14:paraId="602D723E" w14:textId="77777777" w:rsidR="00927487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三、问诊</w:t>
            </w:r>
          </w:p>
          <w:p w14:paraId="6EAE1872" w14:textId="1D91795A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（四）</w:t>
            </w:r>
            <w:r w:rsidRPr="0052581A">
              <w:rPr>
                <w:rFonts w:ascii="微软雅黑" w:eastAsia="微软雅黑" w:hAnsi="微软雅黑"/>
              </w:rPr>
              <w:t>问</w:t>
            </w:r>
            <w:r w:rsidR="00595730">
              <w:rPr>
                <w:rFonts w:ascii="微软雅黑" w:eastAsia="微软雅黑" w:hAnsi="微软雅黑" w:hint="eastAsia"/>
              </w:rPr>
              <w:t>口渴饮水</w:t>
            </w:r>
            <w:r w:rsidRPr="0052581A">
              <w:rPr>
                <w:rFonts w:ascii="微软雅黑" w:eastAsia="微软雅黑" w:hAnsi="微软雅黑"/>
              </w:rPr>
              <w:t>食</w:t>
            </w:r>
            <w:r w:rsidR="00595730">
              <w:rPr>
                <w:rFonts w:ascii="微软雅黑" w:eastAsia="微软雅黑" w:hAnsi="微软雅黑" w:hint="eastAsia"/>
              </w:rPr>
              <w:t>量</w:t>
            </w:r>
          </w:p>
          <w:p w14:paraId="6D15D2F4" w14:textId="55ABC375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2.</w:t>
            </w:r>
            <w:r w:rsidRPr="0052581A">
              <w:rPr>
                <w:rFonts w:ascii="微软雅黑" w:eastAsia="微软雅黑" w:hAnsi="微软雅黑" w:hint="eastAsia"/>
              </w:rPr>
              <w:t>食欲</w:t>
            </w:r>
            <w:r w:rsidRPr="0052581A">
              <w:rPr>
                <w:rFonts w:ascii="微软雅黑" w:eastAsia="微软雅黑" w:hAnsi="微软雅黑"/>
              </w:rPr>
              <w:t>与食量异常变化</w:t>
            </w:r>
          </w:p>
        </w:tc>
        <w:tc>
          <w:tcPr>
            <w:tcW w:w="5410" w:type="dxa"/>
          </w:tcPr>
          <w:p w14:paraId="52D8ED79" w14:textId="715F4CD6" w:rsidR="0002083A" w:rsidRPr="0052581A" w:rsidRDefault="0002083A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</w:rPr>
              <w:t>厌油腻厚味，多见于肝胆胃湿热的病证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r w:rsidRPr="0052581A">
              <w:rPr>
                <w:rFonts w:ascii="微软雅黑" w:eastAsia="微软雅黑" w:hAnsi="微软雅黑" w:hint="eastAsia"/>
                <w:color w:val="0070C0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厌油腻、身目发黄、</w:t>
            </w:r>
            <w:proofErr w:type="gramStart"/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胁</w:t>
            </w:r>
            <w:proofErr w:type="gramEnd"/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肋胀痛、口苦咽干，多见于肝胆湿热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</w:tc>
      </w:tr>
      <w:tr w:rsidR="000A4ED8" w:rsidRPr="0052581A" w14:paraId="6F528A1C" w14:textId="77777777" w:rsidTr="00595730">
        <w:tc>
          <w:tcPr>
            <w:tcW w:w="1980" w:type="dxa"/>
          </w:tcPr>
          <w:p w14:paraId="364AA6AF" w14:textId="77777777" w:rsidR="00927487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第九章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 xml:space="preserve"> </w:t>
            </w: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 xml:space="preserve"> </w:t>
            </w:r>
          </w:p>
          <w:p w14:paraId="58F81775" w14:textId="77777777" w:rsidR="00927487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>中医儿科五官科</w:t>
            </w:r>
          </w:p>
          <w:p w14:paraId="15754239" w14:textId="4DF36C06" w:rsidR="0002083A" w:rsidRPr="00595730" w:rsidRDefault="00542098" w:rsidP="00927487">
            <w:pPr>
              <w:spacing w:line="240" w:lineRule="auto"/>
              <w:rPr>
                <w:rFonts w:ascii="微软雅黑" w:eastAsia="微软雅黑" w:hAnsi="微软雅黑" w:hint="eastAsia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>常见病辨证论治</w:t>
            </w:r>
          </w:p>
        </w:tc>
        <w:tc>
          <w:tcPr>
            <w:tcW w:w="2548" w:type="dxa"/>
          </w:tcPr>
          <w:p w14:paraId="786AFD5B" w14:textId="3B8687B1" w:rsidR="00595730" w:rsidRDefault="0059573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第三节</w:t>
            </w:r>
            <w:r w:rsidRPr="0052581A">
              <w:rPr>
                <w:rFonts w:ascii="微软雅黑" w:eastAsia="微软雅黑" w:hAnsi="微软雅黑" w:hint="eastAsia"/>
              </w:rPr>
              <w:t xml:space="preserve"> </w:t>
            </w:r>
            <w:r w:rsidRPr="0052581A">
              <w:rPr>
                <w:rFonts w:ascii="微软雅黑" w:eastAsia="微软雅黑" w:hAnsi="微软雅黑"/>
              </w:rPr>
              <w:t xml:space="preserve"> 鼻渊</w:t>
            </w:r>
          </w:p>
          <w:p w14:paraId="45D49826" w14:textId="0E83FC19" w:rsidR="0002083A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二、辨证论治</w:t>
            </w:r>
            <w:r w:rsidRPr="0052581A">
              <w:rPr>
                <w:rFonts w:ascii="微软雅黑" w:eastAsia="微软雅黑" w:hAnsi="微软雅黑" w:hint="eastAsia"/>
              </w:rPr>
              <w:t>【</w:t>
            </w:r>
            <w:r w:rsidRPr="0052581A">
              <w:rPr>
                <w:rFonts w:ascii="微软雅黑" w:eastAsia="微软雅黑" w:hAnsi="微软雅黑"/>
              </w:rPr>
              <w:t>方剂应用</w:t>
            </w:r>
            <w:r w:rsidRPr="0052581A">
              <w:rPr>
                <w:rFonts w:ascii="微软雅黑" w:eastAsia="微软雅黑" w:hAnsi="微软雅黑" w:hint="eastAsia"/>
              </w:rPr>
              <w:t>】2</w:t>
            </w:r>
            <w:r w:rsidRPr="0052581A">
              <w:rPr>
                <w:rFonts w:ascii="微软雅黑" w:eastAsia="微软雅黑" w:hAnsi="微软雅黑"/>
              </w:rPr>
              <w:t>.合理用药与用药指导</w:t>
            </w:r>
            <w:r w:rsidRPr="0052581A">
              <w:rPr>
                <w:rFonts w:ascii="微软雅黑" w:eastAsia="微软雅黑" w:hAnsi="微软雅黑" w:hint="eastAsia"/>
              </w:rPr>
              <w:t>（2）剂量</w:t>
            </w:r>
            <w:proofErr w:type="gramStart"/>
            <w:r w:rsidRPr="0052581A">
              <w:rPr>
                <w:rFonts w:ascii="微软雅黑" w:eastAsia="微软雅黑" w:hAnsi="微软雅黑"/>
              </w:rPr>
              <w:t>量</w:t>
            </w:r>
            <w:proofErr w:type="gramEnd"/>
            <w:r w:rsidRPr="0052581A">
              <w:rPr>
                <w:rFonts w:ascii="微软雅黑" w:eastAsia="微软雅黑" w:hAnsi="微软雅黑"/>
              </w:rPr>
              <w:t>建议</w:t>
            </w:r>
          </w:p>
        </w:tc>
        <w:tc>
          <w:tcPr>
            <w:tcW w:w="5410" w:type="dxa"/>
          </w:tcPr>
          <w:p w14:paraId="43E97C4E" w14:textId="5151E7AD" w:rsidR="0002083A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泻</w:t>
            </w:r>
            <w:proofErr w:type="gramStart"/>
            <w:r w:rsidRPr="0052581A">
              <w:rPr>
                <w:rFonts w:ascii="微软雅黑" w:eastAsia="微软雅黑" w:hAnsi="微软雅黑"/>
              </w:rPr>
              <w:t>白散原方</w:t>
            </w:r>
            <w:proofErr w:type="gramEnd"/>
            <w:r w:rsidRPr="0052581A">
              <w:rPr>
                <w:rFonts w:ascii="微软雅黑" w:eastAsia="微软雅黑" w:hAnsi="微软雅黑"/>
              </w:rPr>
              <w:t>中桑白皮、地骨皮用量最大，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辛夷清肺饮中辛夷用量最大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（删除此句）</w:t>
            </w:r>
          </w:p>
        </w:tc>
      </w:tr>
      <w:tr w:rsidR="0002083A" w:rsidRPr="0052581A" w14:paraId="146BFBEC" w14:textId="77777777" w:rsidTr="00595730">
        <w:tc>
          <w:tcPr>
            <w:tcW w:w="1980" w:type="dxa"/>
          </w:tcPr>
          <w:p w14:paraId="55557703" w14:textId="77777777" w:rsidR="00927487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第十一章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</w:p>
          <w:p w14:paraId="4DD77DE1" w14:textId="77777777" w:rsidR="00927487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中药调剂</w:t>
            </w:r>
            <w:proofErr w:type="gramStart"/>
            <w:r w:rsidRPr="0052581A">
              <w:rPr>
                <w:rFonts w:ascii="微软雅黑" w:eastAsia="微软雅黑" w:hAnsi="微软雅黑"/>
              </w:rPr>
              <w:t>和</w:t>
            </w:r>
            <w:proofErr w:type="gramEnd"/>
          </w:p>
          <w:p w14:paraId="1D40690D" w14:textId="4AC39FD5" w:rsidR="00542098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贮藏养护</w:t>
            </w:r>
          </w:p>
          <w:p w14:paraId="5B72C3EE" w14:textId="77777777" w:rsidR="00927487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 xml:space="preserve">第七节 </w:t>
            </w:r>
          </w:p>
          <w:p w14:paraId="3564F37F" w14:textId="77777777" w:rsidR="00927487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中药的贮藏</w:t>
            </w:r>
          </w:p>
          <w:p w14:paraId="4C8942D7" w14:textId="5CD368B6" w:rsidR="0002083A" w:rsidRPr="0052581A" w:rsidRDefault="00542098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与养护</w:t>
            </w:r>
          </w:p>
        </w:tc>
        <w:tc>
          <w:tcPr>
            <w:tcW w:w="2548" w:type="dxa"/>
          </w:tcPr>
          <w:p w14:paraId="10F2D1BF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（四）</w:t>
            </w:r>
            <w:r w:rsidR="00542098" w:rsidRPr="0052581A">
              <w:rPr>
                <w:rFonts w:ascii="微软雅黑" w:eastAsia="微软雅黑" w:hAnsi="微软雅黑"/>
              </w:rPr>
              <w:t>中成药剂型</w:t>
            </w:r>
          </w:p>
          <w:p w14:paraId="5ED30334" w14:textId="45EC2FCE" w:rsidR="0002083A" w:rsidRPr="0052581A" w:rsidRDefault="00542098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与贮藏要求</w:t>
            </w:r>
          </w:p>
        </w:tc>
        <w:tc>
          <w:tcPr>
            <w:tcW w:w="5410" w:type="dxa"/>
          </w:tcPr>
          <w:p w14:paraId="29B04EE7" w14:textId="77777777" w:rsidR="0002083A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FF0000"/>
              </w:rPr>
            </w:pPr>
            <w:r w:rsidRPr="0052581A">
              <w:rPr>
                <w:rFonts w:ascii="微软雅黑" w:eastAsia="微软雅黑" w:hAnsi="微软雅黑"/>
              </w:rPr>
              <w:t>1.丸剂</w:t>
            </w:r>
            <w:r w:rsidRPr="0052581A">
              <w:rPr>
                <w:rFonts w:ascii="微软雅黑" w:eastAsia="微软雅黑" w:hAnsi="微软雅黑" w:hint="eastAsia"/>
              </w:rPr>
              <w:t>：</w:t>
            </w:r>
            <w:r w:rsidRPr="0052581A">
              <w:rPr>
                <w:rFonts w:ascii="微软雅黑" w:eastAsia="微软雅黑" w:hAnsi="微软雅黑"/>
              </w:rPr>
              <w:t>除另有规定外，各种丸剂均应密封贮存</w:t>
            </w:r>
            <w:r w:rsidRPr="0052581A">
              <w:rPr>
                <w:rFonts w:ascii="微软雅黑" w:eastAsia="微软雅黑" w:hAnsi="微软雅黑" w:hint="eastAsia"/>
              </w:rPr>
              <w:t>，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防止受潮、发霉、虫蛀变质</w:t>
            </w:r>
            <w:r w:rsidRPr="0052581A">
              <w:rPr>
                <w:rFonts w:ascii="微软雅黑" w:eastAsia="微软雅黑" w:hAnsi="微软雅黑"/>
                <w:b/>
                <w:bCs/>
                <w:color w:val="FF0000"/>
              </w:rPr>
              <w:t>。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（新增）</w:t>
            </w:r>
          </w:p>
          <w:p w14:paraId="5FF8B7AC" w14:textId="77777777" w:rsidR="00542098" w:rsidRPr="0052581A" w:rsidRDefault="00542098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 xml:space="preserve">3.片剂 </w:t>
            </w:r>
            <w:r w:rsidR="005A277B"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>置于室内凉爽、通风、干燥处</w:t>
            </w:r>
            <w:r w:rsidR="005A277B" w:rsidRPr="0052581A">
              <w:rPr>
                <w:rFonts w:ascii="微软雅黑" w:eastAsia="微软雅黑" w:hAnsi="微软雅黑" w:hint="eastAsia"/>
              </w:rPr>
              <w:t>”</w:t>
            </w:r>
            <w:r w:rsidR="005A277B"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proofErr w:type="gramStart"/>
            <w:r w:rsidR="005A277B"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”</w:t>
            </w:r>
            <w:proofErr w:type="gramEnd"/>
            <w:r w:rsidR="005A277B" w:rsidRPr="0052581A">
              <w:rPr>
                <w:rFonts w:ascii="微软雅黑" w:eastAsia="微软雅黑" w:hAnsi="微软雅黑"/>
                <w:b/>
                <w:bCs/>
                <w:color w:val="0070C0"/>
              </w:rPr>
              <w:t>片剂应注意贮存环境中温度、湿度及光照的影响</w:t>
            </w:r>
            <w:r w:rsidR="005A277B" w:rsidRPr="0052581A">
              <w:rPr>
                <w:rFonts w:ascii="微软雅黑" w:eastAsia="微软雅黑" w:hAnsi="微软雅黑" w:hint="eastAsia"/>
                <w:b/>
                <w:bCs/>
              </w:rPr>
              <w:t>”</w:t>
            </w:r>
          </w:p>
          <w:p w14:paraId="0B383F5C" w14:textId="77777777" w:rsidR="005A277B" w:rsidRPr="0052581A" w:rsidRDefault="005A277B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</w:rPr>
            </w:pPr>
            <w:r w:rsidRPr="0052581A">
              <w:rPr>
                <w:rFonts w:ascii="微软雅黑" w:eastAsia="微软雅黑" w:hAnsi="微软雅黑"/>
              </w:rPr>
              <w:t>7.胶囊剂</w:t>
            </w:r>
            <w:r w:rsidRPr="0052581A">
              <w:rPr>
                <w:rFonts w:ascii="微软雅黑" w:eastAsia="微软雅黑" w:hAnsi="微软雅黑" w:hint="eastAsia"/>
              </w:rPr>
              <w:t>：“</w:t>
            </w:r>
            <w:r w:rsidRPr="0052581A">
              <w:rPr>
                <w:rFonts w:ascii="微软雅黑" w:eastAsia="微软雅黑" w:hAnsi="微软雅黑"/>
              </w:rPr>
              <w:t>故应置于室内阴凉干燥处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改为“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贮存湿度应适宜，防止受潮、发霉、变质</w:t>
            </w:r>
            <w:r w:rsidRPr="0052581A">
              <w:rPr>
                <w:rFonts w:ascii="微软雅黑" w:eastAsia="微软雅黑" w:hAnsi="微软雅黑" w:hint="eastAsia"/>
                <w:b/>
                <w:bCs/>
              </w:rPr>
              <w:t>”</w:t>
            </w:r>
          </w:p>
          <w:p w14:paraId="5FDEFE37" w14:textId="77777777" w:rsidR="005A277B" w:rsidRPr="0052581A" w:rsidRDefault="005A277B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10.胶剂</w:t>
            </w:r>
            <w:r w:rsidRPr="0052581A">
              <w:rPr>
                <w:rFonts w:ascii="微软雅黑" w:eastAsia="微软雅黑" w:hAnsi="微软雅黑" w:hint="eastAsia"/>
              </w:rPr>
              <w:t>：</w:t>
            </w:r>
            <w:r w:rsidRPr="0052581A">
              <w:rPr>
                <w:rFonts w:ascii="微软雅黑" w:eastAsia="微软雅黑" w:hAnsi="微软雅黑"/>
              </w:rPr>
              <w:t>胶剂应密闭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，置于室内阴凉干燥处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（删除此句）</w:t>
            </w:r>
            <w:r w:rsidRPr="0052581A">
              <w:rPr>
                <w:rFonts w:ascii="微软雅黑" w:eastAsia="微软雅黑" w:hAnsi="微软雅黑"/>
              </w:rPr>
              <w:t>贮存，防止受潮。</w:t>
            </w:r>
          </w:p>
          <w:p w14:paraId="6F02B4E3" w14:textId="77777777" w:rsidR="005A277B" w:rsidRPr="0052581A" w:rsidRDefault="005A277B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13.栓剂</w:t>
            </w:r>
            <w:r w:rsidRPr="0052581A">
              <w:rPr>
                <w:rFonts w:ascii="微软雅黑" w:eastAsia="微软雅黑" w:hAnsi="微软雅黑" w:hint="eastAsia"/>
              </w:rPr>
              <w:t>：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置于室内阴凉干燥处。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（删除此句）</w:t>
            </w:r>
            <w:r w:rsidRPr="0052581A">
              <w:rPr>
                <w:rFonts w:ascii="微软雅黑" w:eastAsia="微软雅黑" w:hAnsi="微软雅黑"/>
              </w:rPr>
              <w:t>除另有规定外，应在 30C以下密闭贮存，</w:t>
            </w:r>
          </w:p>
          <w:p w14:paraId="55E2630C" w14:textId="77777777" w:rsidR="005A277B" w:rsidRPr="0052581A" w:rsidRDefault="005A277B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14.其他剂型</w:t>
            </w:r>
          </w:p>
          <w:p w14:paraId="3DEEEA85" w14:textId="77777777" w:rsidR="005A277B" w:rsidRPr="0052581A" w:rsidRDefault="005A277B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 xml:space="preserve">(8)搽剂、洗剂、涂膜剂: 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</w:rPr>
              <w:t>除另有规定外，均应密封贮存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</w:rPr>
              <w:t>除另有规定外，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搽剂应避光密封贮存洗剂应密闭贮存，涂膜剂应避光、密闭贮存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  <w:p w14:paraId="48C59CCD" w14:textId="77777777" w:rsidR="005A277B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（</w:t>
            </w:r>
            <w:r w:rsidRPr="0052581A">
              <w:rPr>
                <w:rFonts w:ascii="微软雅黑" w:eastAsia="微软雅黑" w:hAnsi="微软雅黑"/>
              </w:rPr>
              <w:t>10</w:t>
            </w:r>
            <w:r w:rsidRPr="0052581A">
              <w:rPr>
                <w:rFonts w:ascii="微软雅黑" w:eastAsia="微软雅黑" w:hAnsi="微软雅黑" w:hint="eastAsia"/>
              </w:rPr>
              <w:t>）</w:t>
            </w:r>
            <w:r w:rsidRPr="0052581A">
              <w:rPr>
                <w:rFonts w:ascii="微软雅黑" w:eastAsia="微软雅黑" w:hAnsi="微软雅黑"/>
              </w:rPr>
              <w:t xml:space="preserve">眼用制剂: 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</w:rPr>
              <w:t>除另有规定外，应遮光密封，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置阴凉处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（删除此句）</w:t>
            </w:r>
            <w:r w:rsidRPr="0052581A">
              <w:rPr>
                <w:rFonts w:ascii="微软雅黑" w:eastAsia="微软雅黑" w:hAnsi="微软雅黑"/>
              </w:rPr>
              <w:t>贮存</w:t>
            </w:r>
          </w:p>
          <w:p w14:paraId="5838C1B4" w14:textId="61066925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（1</w:t>
            </w:r>
            <w:r w:rsidRPr="0052581A">
              <w:rPr>
                <w:rFonts w:ascii="微软雅黑" w:eastAsia="微软雅黑" w:hAnsi="微软雅黑"/>
              </w:rPr>
              <w:t>1</w:t>
            </w:r>
            <w:r w:rsidRPr="0052581A">
              <w:rPr>
                <w:rFonts w:ascii="微软雅黑" w:eastAsia="微软雅黑" w:hAnsi="微软雅黑" w:hint="eastAsia"/>
              </w:rPr>
              <w:t>）气雾剂</w:t>
            </w:r>
            <w:r w:rsidRPr="0052581A">
              <w:rPr>
                <w:rFonts w:ascii="微软雅黑" w:eastAsia="微软雅黑" w:hAnsi="微软雅黑"/>
              </w:rPr>
              <w:t>、</w:t>
            </w:r>
            <w:r w:rsidRPr="0052581A">
              <w:rPr>
                <w:rFonts w:ascii="微软雅黑" w:eastAsia="微软雅黑" w:hAnsi="微软雅黑" w:hint="eastAsia"/>
              </w:rPr>
              <w:t>喷雾剂</w:t>
            </w:r>
            <w:r w:rsidRPr="0052581A">
              <w:rPr>
                <w:rFonts w:ascii="微软雅黑" w:eastAsia="微软雅黑" w:hAnsi="微软雅黑"/>
              </w:rPr>
              <w:t xml:space="preserve">: 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</w:rPr>
              <w:t>除另有规定外，均应置凉暗处贮存，并避免曝晒受热、撞击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除另有规定外，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0070C0"/>
              </w:rPr>
              <w:t>气雾剂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应置凉暗处贮存并避免曝晒、受热、撞击;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lastRenderedPageBreak/>
              <w:t>喷霉剂应避光密封贮存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</w:tc>
      </w:tr>
      <w:tr w:rsidR="0002083A" w:rsidRPr="0052581A" w14:paraId="70FE696D" w14:textId="77777777" w:rsidTr="00595730">
        <w:tc>
          <w:tcPr>
            <w:tcW w:w="1980" w:type="dxa"/>
          </w:tcPr>
          <w:p w14:paraId="70754066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lastRenderedPageBreak/>
              <w:t>第十二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 xml:space="preserve">章 </w:t>
            </w:r>
            <w:r w:rsidRPr="0052581A">
              <w:rPr>
                <w:rFonts w:ascii="微软雅黑" w:eastAsia="微软雅黑" w:hAnsi="微软雅黑"/>
                <w:b/>
                <w:bCs/>
                <w:color w:val="7030A0"/>
              </w:rPr>
              <w:t xml:space="preserve"> </w:t>
            </w:r>
          </w:p>
          <w:p w14:paraId="1FCB38D1" w14:textId="245CDF7F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中药的合理应用</w:t>
            </w:r>
          </w:p>
          <w:p w14:paraId="3EEDAF7D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第一节</w:t>
            </w:r>
            <w:r w:rsidRPr="0052581A">
              <w:rPr>
                <w:rFonts w:ascii="微软雅黑" w:eastAsia="微软雅黑" w:hAnsi="微软雅黑" w:hint="eastAsia"/>
              </w:rPr>
              <w:t xml:space="preserve"> 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</w:p>
          <w:p w14:paraId="0DAC44EF" w14:textId="70E92372" w:rsidR="0002083A" w:rsidRPr="0052581A" w:rsidRDefault="00E54C7C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中药合理用药概述</w:t>
            </w:r>
          </w:p>
        </w:tc>
        <w:tc>
          <w:tcPr>
            <w:tcW w:w="2548" w:type="dxa"/>
          </w:tcPr>
          <w:p w14:paraId="202FB1DA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七、保证合理用药</w:t>
            </w:r>
          </w:p>
          <w:p w14:paraId="7AD1F38D" w14:textId="4E65530B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的主要措施</w:t>
            </w:r>
          </w:p>
          <w:p w14:paraId="7C3B02B9" w14:textId="18E8FEC9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</w:p>
        </w:tc>
        <w:tc>
          <w:tcPr>
            <w:tcW w:w="5410" w:type="dxa"/>
          </w:tcPr>
          <w:p w14:paraId="1671908B" w14:textId="77777777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1.努力研习中医药学</w:t>
            </w:r>
          </w:p>
          <w:p w14:paraId="6A358776" w14:textId="77777777" w:rsidR="0002083A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</w:rPr>
              <w:t>同时配伍他药</w:t>
            </w:r>
            <w:r w:rsidRPr="0052581A">
              <w:rPr>
                <w:rFonts w:ascii="微软雅黑" w:eastAsia="微软雅黑" w:hAnsi="微软雅黑" w:hint="eastAsia"/>
              </w:rPr>
              <w:t>”改为“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根据需要配伍他药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  <w:p w14:paraId="761198B8" w14:textId="77777777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5.选择质优的饮片</w:t>
            </w:r>
          </w:p>
          <w:p w14:paraId="5718E462" w14:textId="1ECBA55B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给患者使用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的中药和中成药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(删除此句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)</w:t>
            </w: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，</w:t>
            </w:r>
            <w:r w:rsidRPr="0052581A">
              <w:rPr>
                <w:rFonts w:ascii="微软雅黑" w:eastAsia="微软雅黑" w:hAnsi="微软雅黑"/>
              </w:rPr>
              <w:t>应是质量最佳、疗效最好的饮片。</w:t>
            </w:r>
          </w:p>
        </w:tc>
      </w:tr>
      <w:tr w:rsidR="0002083A" w:rsidRPr="0052581A" w14:paraId="374D5DA5" w14:textId="77777777" w:rsidTr="00595730">
        <w:tc>
          <w:tcPr>
            <w:tcW w:w="1980" w:type="dxa"/>
          </w:tcPr>
          <w:p w14:paraId="42B3F580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第三节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</w:p>
          <w:p w14:paraId="3A394163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中成药的</w:t>
            </w:r>
          </w:p>
          <w:p w14:paraId="6B1F7507" w14:textId="0CDDF629" w:rsidR="0002083A" w:rsidRPr="0052581A" w:rsidRDefault="00E54C7C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合理应用</w:t>
            </w:r>
          </w:p>
        </w:tc>
        <w:tc>
          <w:tcPr>
            <w:tcW w:w="2548" w:type="dxa"/>
          </w:tcPr>
          <w:p w14:paraId="377748A7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中药注射剂的</w:t>
            </w:r>
          </w:p>
          <w:p w14:paraId="415E9581" w14:textId="20A6BB97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合理应用</w:t>
            </w:r>
          </w:p>
          <w:p w14:paraId="438356D3" w14:textId="77777777" w:rsidR="00927487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(二)中药注射剂</w:t>
            </w:r>
          </w:p>
          <w:p w14:paraId="649A4DD4" w14:textId="60C6BE67" w:rsidR="00E54C7C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不合理使用</w:t>
            </w:r>
            <w:proofErr w:type="gramStart"/>
            <w:r w:rsidRPr="0052581A">
              <w:rPr>
                <w:rFonts w:ascii="微软雅黑" w:eastAsia="微软雅黑" w:hAnsi="微软雅黑"/>
              </w:rPr>
              <w:t>例举</w:t>
            </w:r>
            <w:proofErr w:type="gramEnd"/>
          </w:p>
          <w:p w14:paraId="1BD3646A" w14:textId="4C93895B" w:rsidR="0002083A" w:rsidRPr="0052581A" w:rsidRDefault="00E54C7C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4超剂量使用</w:t>
            </w:r>
          </w:p>
        </w:tc>
        <w:tc>
          <w:tcPr>
            <w:tcW w:w="5410" w:type="dxa"/>
          </w:tcPr>
          <w:p w14:paraId="24003711" w14:textId="3F36B371" w:rsidR="0002083A" w:rsidRPr="0052581A" w:rsidRDefault="00E54C7C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</w:rPr>
              <w:t>某男，63 岁。患高血压、糖尿病、冠心病多年。近因“左膝骨关节炎右人工膝关节置换术后，··子以氯化钠注射液 250ml+注射用丹参多酚酸盐 400mg 静脉滴注，每日1次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proofErr w:type="gramStart"/>
            <w:r w:rsidRPr="0052581A">
              <w:rPr>
                <w:rFonts w:ascii="微软雅黑" w:eastAsia="微软雅黑" w:hAnsi="微软雅黑" w:hint="eastAsia"/>
              </w:rPr>
              <w:t>“</w:t>
            </w:r>
            <w:proofErr w:type="gramEnd"/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某男，63 岁。患糖尿病、高血压 10 余年。近因“反复发作左前胸闷痛1周”入院。··予以注射用丹参多酚酸盐 400mg+0.9%氯化钠注射液250ml静脉滴注，每日1次。</w:t>
            </w:r>
            <w:proofErr w:type="gramStart"/>
            <w:r w:rsidRPr="0052581A">
              <w:rPr>
                <w:rFonts w:ascii="微软雅黑" w:eastAsia="微软雅黑" w:hAnsi="微软雅黑" w:hint="eastAsia"/>
              </w:rPr>
              <w:t>”</w:t>
            </w:r>
            <w:proofErr w:type="gramEnd"/>
          </w:p>
        </w:tc>
      </w:tr>
      <w:tr w:rsidR="00FB00E0" w:rsidRPr="0052581A" w14:paraId="27753AD5" w14:textId="77777777" w:rsidTr="00595730">
        <w:tc>
          <w:tcPr>
            <w:tcW w:w="1980" w:type="dxa"/>
          </w:tcPr>
          <w:p w14:paraId="47D8CCBB" w14:textId="162380BC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 xml:space="preserve">第四节 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  <w:r w:rsidRPr="0052581A">
              <w:rPr>
                <w:rFonts w:ascii="微软雅黑" w:eastAsia="微软雅黑" w:hAnsi="微软雅黑" w:hint="eastAsia"/>
              </w:rPr>
              <w:t>中西药的联合应用</w:t>
            </w:r>
          </w:p>
        </w:tc>
        <w:tc>
          <w:tcPr>
            <w:tcW w:w="2548" w:type="dxa"/>
          </w:tcPr>
          <w:p w14:paraId="6A2089D9" w14:textId="77777777" w:rsidR="00927487" w:rsidRPr="0052581A" w:rsidRDefault="00FB00E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一、中西药</w:t>
            </w:r>
          </w:p>
          <w:p w14:paraId="6332EFC8" w14:textId="762AFC5E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联用的特点</w:t>
            </w:r>
          </w:p>
        </w:tc>
        <w:tc>
          <w:tcPr>
            <w:tcW w:w="5410" w:type="dxa"/>
          </w:tcPr>
          <w:p w14:paraId="3425C14B" w14:textId="6B78C431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改为“</w:t>
            </w:r>
            <w:r w:rsidRPr="0052581A">
              <w:rPr>
                <w:rFonts w:ascii="微软雅黑" w:eastAsia="微软雅黑" w:hAnsi="微软雅黑"/>
              </w:rPr>
              <w:t>一、中西药联用的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目的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</w:tc>
      </w:tr>
      <w:tr w:rsidR="00FB00E0" w:rsidRPr="0052581A" w14:paraId="6CF25975" w14:textId="77777777" w:rsidTr="00595730">
        <w:tc>
          <w:tcPr>
            <w:tcW w:w="1980" w:type="dxa"/>
            <w:vMerge w:val="restart"/>
          </w:tcPr>
          <w:p w14:paraId="77DBDE3A" w14:textId="77777777" w:rsidR="00927487" w:rsidRPr="0052581A" w:rsidRDefault="00FB00E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 xml:space="preserve">第五节 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</w:p>
          <w:p w14:paraId="37451287" w14:textId="77777777" w:rsidR="00927487" w:rsidRPr="0052581A" w:rsidRDefault="00FB00E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特殊人群的</w:t>
            </w:r>
          </w:p>
          <w:p w14:paraId="538A031E" w14:textId="48E93FE5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中药应用</w:t>
            </w:r>
          </w:p>
        </w:tc>
        <w:tc>
          <w:tcPr>
            <w:tcW w:w="2548" w:type="dxa"/>
          </w:tcPr>
          <w:p w14:paraId="66510212" w14:textId="26A19249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四、肾功能不全中药应用</w:t>
            </w:r>
          </w:p>
          <w:p w14:paraId="6CC530EE" w14:textId="11F3D6E5" w:rsidR="00927487" w:rsidRPr="0052581A" w:rsidRDefault="00FB00E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（二）</w:t>
            </w:r>
            <w:r w:rsidRPr="0052581A">
              <w:rPr>
                <w:rFonts w:ascii="微软雅黑" w:eastAsia="微软雅黑" w:hAnsi="微软雅黑"/>
              </w:rPr>
              <w:t>常见对肾</w:t>
            </w:r>
            <w:r w:rsidR="00927487" w:rsidRPr="0052581A">
              <w:rPr>
                <w:rFonts w:ascii="微软雅黑" w:eastAsia="微软雅黑" w:hAnsi="微软雅黑" w:hint="eastAsia"/>
              </w:rPr>
              <w:t>功</w:t>
            </w:r>
            <w:r w:rsidRPr="0052581A">
              <w:rPr>
                <w:rFonts w:ascii="微软雅黑" w:eastAsia="微软雅黑" w:hAnsi="微软雅黑"/>
              </w:rPr>
              <w:t>能</w:t>
            </w:r>
          </w:p>
          <w:p w14:paraId="70A67940" w14:textId="56BF7259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有影响的中药6</w:t>
            </w:r>
            <w:r w:rsidR="00927487" w:rsidRPr="0052581A">
              <w:rPr>
                <w:rFonts w:ascii="微软雅黑" w:eastAsia="微软雅黑" w:hAnsi="微软雅黑"/>
              </w:rPr>
              <w:t>.</w:t>
            </w:r>
            <w:r w:rsidRPr="0052581A">
              <w:rPr>
                <w:rFonts w:ascii="微软雅黑" w:eastAsia="微软雅黑" w:hAnsi="微软雅黑"/>
              </w:rPr>
              <w:t>肾功能不全者慎用中成药</w:t>
            </w:r>
          </w:p>
        </w:tc>
        <w:tc>
          <w:tcPr>
            <w:tcW w:w="5410" w:type="dxa"/>
          </w:tcPr>
          <w:p w14:paraId="3D8686E8" w14:textId="5897BBDF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/>
                <w:b/>
                <w:bCs/>
              </w:rPr>
              <w:t>通</w:t>
            </w:r>
            <w:proofErr w:type="gramStart"/>
            <w:r w:rsidRPr="0052581A">
              <w:rPr>
                <w:rFonts w:ascii="微软雅黑" w:eastAsia="微软雅黑" w:hAnsi="微软雅黑"/>
                <w:b/>
                <w:bCs/>
              </w:rPr>
              <w:t>痹</w:t>
            </w:r>
            <w:proofErr w:type="gramEnd"/>
            <w:r w:rsidRPr="0052581A">
              <w:rPr>
                <w:rFonts w:ascii="微软雅黑" w:eastAsia="微软雅黑" w:hAnsi="微软雅黑"/>
                <w:b/>
                <w:bCs/>
              </w:rPr>
              <w:t>胶囊、小儿肺热平胶囊、脑静</w:t>
            </w:r>
            <w:r w:rsidR="0052581A" w:rsidRPr="0052581A">
              <w:rPr>
                <w:rFonts w:ascii="微软雅黑" w:eastAsia="微软雅黑" w:hAnsi="微软雅黑" w:hint="eastAsia"/>
                <w:b/>
                <w:bCs/>
              </w:rPr>
              <w:t>片、</w:t>
            </w:r>
            <w:r w:rsidRPr="0052581A">
              <w:rPr>
                <w:rFonts w:ascii="微软雅黑" w:eastAsia="微软雅黑" w:hAnsi="微软雅黑"/>
                <w:b/>
                <w:bCs/>
              </w:rPr>
              <w:t>牛黄解毒片等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改为“</w:t>
            </w:r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麝香通心滴丸、通</w:t>
            </w:r>
            <w:proofErr w:type="gramStart"/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痹</w:t>
            </w:r>
            <w:proofErr w:type="gramEnd"/>
            <w:r w:rsidRPr="0052581A">
              <w:rPr>
                <w:rFonts w:ascii="微软雅黑" w:eastAsia="微软雅黑" w:hAnsi="微软雅黑"/>
                <w:b/>
                <w:bCs/>
                <w:color w:val="0070C0"/>
              </w:rPr>
              <w:t>胶囊、小儿肺热平胶囊、心脑静片等。急、慢性肾脏病患者慎用牛黄解毒片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</w:tc>
      </w:tr>
      <w:tr w:rsidR="00FB00E0" w:rsidRPr="0052581A" w14:paraId="564CCF8A" w14:textId="77777777" w:rsidTr="00595730">
        <w:tc>
          <w:tcPr>
            <w:tcW w:w="1980" w:type="dxa"/>
            <w:vMerge/>
          </w:tcPr>
          <w:p w14:paraId="435E5165" w14:textId="77777777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548" w:type="dxa"/>
          </w:tcPr>
          <w:p w14:paraId="5BC2B487" w14:textId="108588D5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五、肝功能不全中药应用</w:t>
            </w:r>
          </w:p>
          <w:p w14:paraId="0498D622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（二）</w:t>
            </w:r>
            <w:r w:rsidR="00FB00E0" w:rsidRPr="0052581A">
              <w:rPr>
                <w:rFonts w:ascii="微软雅黑" w:eastAsia="微软雅黑" w:hAnsi="微软雅黑"/>
              </w:rPr>
              <w:t>引起肝损伤的中药</w:t>
            </w:r>
          </w:p>
          <w:p w14:paraId="14655B39" w14:textId="09929B60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及其主要化学物质6</w:t>
            </w:r>
            <w:r w:rsidR="00927487" w:rsidRPr="0052581A">
              <w:rPr>
                <w:rFonts w:ascii="微软雅黑" w:eastAsia="微软雅黑" w:hAnsi="微软雅黑"/>
              </w:rPr>
              <w:t>.</w:t>
            </w:r>
            <w:r w:rsidRPr="0052581A">
              <w:rPr>
                <w:rFonts w:ascii="微软雅黑" w:eastAsia="微软雅黑" w:hAnsi="微软雅黑"/>
              </w:rPr>
              <w:t>肝功能不全者慎用中成药</w:t>
            </w:r>
          </w:p>
        </w:tc>
        <w:tc>
          <w:tcPr>
            <w:tcW w:w="5410" w:type="dxa"/>
          </w:tcPr>
          <w:p w14:paraId="0F6950C8" w14:textId="16E150FF" w:rsidR="00FB00E0" w:rsidRPr="0052581A" w:rsidRDefault="00FB00E0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 w:hint="eastAsia"/>
                <w:b/>
                <w:bCs/>
              </w:rPr>
              <w:t>脑静片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0070C0"/>
              </w:rPr>
              <w:t>心脑静片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</w:tc>
      </w:tr>
      <w:tr w:rsidR="00927487" w:rsidRPr="0052581A" w14:paraId="1A8F2A97" w14:textId="77777777" w:rsidTr="00595730">
        <w:tc>
          <w:tcPr>
            <w:tcW w:w="1980" w:type="dxa"/>
            <w:vMerge w:val="restart"/>
          </w:tcPr>
          <w:p w14:paraId="2EE14A99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第十三章</w:t>
            </w:r>
          </w:p>
          <w:p w14:paraId="5B379567" w14:textId="6FE492D1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  <w:b/>
                <w:bCs/>
                <w:color w:val="7030A0"/>
              </w:rPr>
            </w:pP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中药用药安全</w:t>
            </w:r>
          </w:p>
          <w:p w14:paraId="1B0F553E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第二节</w:t>
            </w:r>
            <w:r w:rsidRPr="0052581A">
              <w:rPr>
                <w:rFonts w:ascii="微软雅黑" w:eastAsia="微软雅黑" w:hAnsi="微软雅黑"/>
              </w:rPr>
              <w:t xml:space="preserve"> </w:t>
            </w:r>
          </w:p>
          <w:p w14:paraId="33494080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中药药物</w:t>
            </w:r>
          </w:p>
          <w:p w14:paraId="64B661A0" w14:textId="3645EAB0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不良反应/事件</w:t>
            </w:r>
          </w:p>
        </w:tc>
        <w:tc>
          <w:tcPr>
            <w:tcW w:w="2548" w:type="dxa"/>
          </w:tcPr>
          <w:p w14:paraId="7E5099DD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五、监测与报告</w:t>
            </w:r>
          </w:p>
          <w:p w14:paraId="752BA852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/>
              </w:rPr>
              <w:t>(四)填写内容和评价方法</w:t>
            </w:r>
          </w:p>
          <w:p w14:paraId="43CC2D36" w14:textId="04AC4969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2.评价方法</w:t>
            </w:r>
            <w:r w:rsidR="000A4ED8" w:rsidRPr="0052581A">
              <w:rPr>
                <w:rFonts w:ascii="微软雅黑" w:eastAsia="微软雅黑" w:hAnsi="微软雅黑" w:hint="eastAsia"/>
              </w:rPr>
              <w:t>：</w:t>
            </w:r>
            <w:r w:rsidRPr="0052581A">
              <w:rPr>
                <w:rFonts w:ascii="微软雅黑" w:eastAsia="微软雅黑" w:hAnsi="微软雅黑" w:hint="eastAsia"/>
              </w:rPr>
              <w:t>表</w:t>
            </w:r>
            <w:r w:rsidRPr="0052581A">
              <w:rPr>
                <w:rFonts w:ascii="微软雅黑" w:eastAsia="微软雅黑" w:hAnsi="微软雅黑"/>
              </w:rPr>
              <w:t>13-2-2关联性评价具体分级要点</w:t>
            </w:r>
          </w:p>
        </w:tc>
        <w:tc>
          <w:tcPr>
            <w:tcW w:w="5410" w:type="dxa"/>
          </w:tcPr>
          <w:p w14:paraId="0AEF54A6" w14:textId="171AD56C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 w:hint="eastAsia"/>
              </w:rPr>
              <w:t>表格中“可能”第②项（反应是否符合该药已知的不良反应类型）由原来“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  <w:sz w:val="28"/>
                <w:szCs w:val="28"/>
              </w:rPr>
              <w:t>-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7030A0"/>
              </w:rPr>
              <w:t>（否定）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FF0000"/>
              </w:rPr>
              <w:t>改为</w:t>
            </w:r>
            <w:r w:rsidRPr="0052581A">
              <w:rPr>
                <w:rFonts w:ascii="微软雅黑" w:eastAsia="微软雅黑" w:hAnsi="微软雅黑" w:hint="eastAsia"/>
              </w:rPr>
              <w:t>“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0070C0"/>
                <w:sz w:val="28"/>
                <w:szCs w:val="28"/>
              </w:rPr>
              <w:t>±</w:t>
            </w:r>
            <w:r w:rsidRPr="0052581A">
              <w:rPr>
                <w:rFonts w:ascii="微软雅黑" w:eastAsia="微软雅黑" w:hAnsi="微软雅黑" w:hint="eastAsia"/>
                <w:b/>
                <w:bCs/>
                <w:color w:val="0070C0"/>
              </w:rPr>
              <w:t>（难以肯定或否定）</w:t>
            </w:r>
            <w:r w:rsidRPr="0052581A">
              <w:rPr>
                <w:rFonts w:ascii="微软雅黑" w:eastAsia="微软雅黑" w:hAnsi="微软雅黑" w:hint="eastAsia"/>
              </w:rPr>
              <w:t>”</w:t>
            </w:r>
          </w:p>
        </w:tc>
      </w:tr>
      <w:tr w:rsidR="00927487" w:rsidRPr="0052581A" w14:paraId="3A877285" w14:textId="77777777" w:rsidTr="00595730">
        <w:tc>
          <w:tcPr>
            <w:tcW w:w="1980" w:type="dxa"/>
            <w:vMerge/>
          </w:tcPr>
          <w:p w14:paraId="52A4C182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548" w:type="dxa"/>
          </w:tcPr>
          <w:p w14:paraId="34A69CB7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六、常见中药品种</w:t>
            </w:r>
          </w:p>
          <w:p w14:paraId="2EAB73EE" w14:textId="028B4A1B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不良反应案例介绍</w:t>
            </w:r>
          </w:p>
          <w:p w14:paraId="636AAE9A" w14:textId="77777777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/>
              </w:rPr>
            </w:pPr>
            <w:r w:rsidRPr="0052581A">
              <w:rPr>
                <w:rFonts w:ascii="微软雅黑" w:eastAsia="微软雅黑" w:hAnsi="微软雅黑" w:hint="eastAsia"/>
              </w:rPr>
              <w:t>（三）</w:t>
            </w:r>
            <w:r w:rsidRPr="0052581A">
              <w:rPr>
                <w:rFonts w:ascii="微软雅黑" w:eastAsia="微软雅黑" w:hAnsi="微软雅黑"/>
              </w:rPr>
              <w:t>中药注射剂</w:t>
            </w:r>
          </w:p>
          <w:p w14:paraId="15A0754A" w14:textId="4C4DE583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 w:hint="eastAsia"/>
              </w:rPr>
            </w:pPr>
            <w:r w:rsidRPr="0052581A">
              <w:rPr>
                <w:rFonts w:ascii="微软雅黑" w:eastAsia="微软雅黑" w:hAnsi="微软雅黑"/>
              </w:rPr>
              <w:t>的不良反应</w:t>
            </w:r>
          </w:p>
        </w:tc>
        <w:tc>
          <w:tcPr>
            <w:tcW w:w="5410" w:type="dxa"/>
          </w:tcPr>
          <w:p w14:paraId="47C06249" w14:textId="095ECC19" w:rsidR="00927487" w:rsidRPr="0052581A" w:rsidRDefault="00927487" w:rsidP="00927487">
            <w:pPr>
              <w:spacing w:line="240" w:lineRule="auto"/>
              <w:rPr>
                <w:rFonts w:ascii="微软雅黑" w:eastAsia="微软雅黑" w:hAnsi="微软雅黑" w:hint="eastAsia"/>
                <w:b/>
                <w:bCs/>
                <w:strike/>
              </w:rPr>
            </w:pPr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4.</w:t>
            </w:r>
            <w:proofErr w:type="gramStart"/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莲</w:t>
            </w:r>
            <w:proofErr w:type="gramEnd"/>
            <w:r w:rsidRPr="0052581A">
              <w:rPr>
                <w:rFonts w:ascii="微软雅黑" w:eastAsia="微软雅黑" w:hAnsi="微软雅黑"/>
                <w:b/>
                <w:bCs/>
                <w:strike/>
                <w:color w:val="FF0000"/>
              </w:rPr>
              <w:t>必治注射液</w:t>
            </w:r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（</w:t>
            </w:r>
            <w:proofErr w:type="gramStart"/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删除此知识</w:t>
            </w:r>
            <w:proofErr w:type="gramEnd"/>
            <w:r w:rsidRPr="0052581A">
              <w:rPr>
                <w:rFonts w:ascii="微软雅黑" w:eastAsia="微软雅黑" w:hAnsi="微软雅黑" w:hint="eastAsia"/>
                <w:b/>
                <w:bCs/>
                <w:strike/>
                <w:color w:val="FF0000"/>
              </w:rPr>
              <w:t>点）</w:t>
            </w:r>
          </w:p>
        </w:tc>
      </w:tr>
    </w:tbl>
    <w:p w14:paraId="0C0C5E95" w14:textId="14C89382" w:rsidR="00272E96" w:rsidRDefault="00272E96" w:rsidP="00927487">
      <w:pPr>
        <w:spacing w:line="240" w:lineRule="auto"/>
        <w:rPr>
          <w:rFonts w:hint="eastAsia"/>
        </w:rPr>
      </w:pPr>
    </w:p>
    <w:sectPr w:rsidR="00272E96" w:rsidSect="00B22DD5">
      <w:pgSz w:w="11906" w:h="16838"/>
      <w:pgMar w:top="851" w:right="1077" w:bottom="851" w:left="1077" w:header="71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B21C" w14:textId="77777777" w:rsidR="00C95EE4" w:rsidRDefault="00C95EE4">
      <w:pPr>
        <w:spacing w:line="240" w:lineRule="auto"/>
      </w:pPr>
      <w:r>
        <w:separator/>
      </w:r>
    </w:p>
  </w:endnote>
  <w:endnote w:type="continuationSeparator" w:id="0">
    <w:p w14:paraId="59DBF6E1" w14:textId="77777777" w:rsidR="00C95EE4" w:rsidRDefault="00C9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B5A5" w14:textId="77777777" w:rsidR="00C95EE4" w:rsidRDefault="00C95EE4">
      <w:pPr>
        <w:spacing w:before="0" w:after="0"/>
      </w:pPr>
      <w:r>
        <w:separator/>
      </w:r>
    </w:p>
  </w:footnote>
  <w:footnote w:type="continuationSeparator" w:id="0">
    <w:p w14:paraId="7733EDE1" w14:textId="77777777" w:rsidR="00C95EE4" w:rsidRDefault="00C95EE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xNzk0MmEzYzc1ODk0NDk3YjA4YzQzNTc5MDdiZTEifQ=="/>
  </w:docVars>
  <w:rsids>
    <w:rsidRoot w:val="007968AB"/>
    <w:rsid w:val="0002083A"/>
    <w:rsid w:val="000A4ED8"/>
    <w:rsid w:val="00272E96"/>
    <w:rsid w:val="004660A7"/>
    <w:rsid w:val="0052581A"/>
    <w:rsid w:val="00542098"/>
    <w:rsid w:val="00595730"/>
    <w:rsid w:val="005A277B"/>
    <w:rsid w:val="007968AB"/>
    <w:rsid w:val="007F7C8E"/>
    <w:rsid w:val="00927487"/>
    <w:rsid w:val="009648AD"/>
    <w:rsid w:val="00B22DD5"/>
    <w:rsid w:val="00C95EE4"/>
    <w:rsid w:val="00E54C7C"/>
    <w:rsid w:val="00FB00E0"/>
    <w:rsid w:val="08BA6D7F"/>
    <w:rsid w:val="09C8271C"/>
    <w:rsid w:val="3CFC3D42"/>
    <w:rsid w:val="5D3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B0FF"/>
  <w15:docId w15:val="{4DC1FB7B-C4E5-49FB-856B-25785600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00E0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 旭</cp:lastModifiedBy>
  <cp:revision>6</cp:revision>
  <dcterms:created xsi:type="dcterms:W3CDTF">2022-12-10T13:16:00Z</dcterms:created>
  <dcterms:modified xsi:type="dcterms:W3CDTF">2022-12-24T13:52:00Z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DDDD8452BC964735886D92ECDBED7888</vt:lpwstr>
  </property>
</Properties>
</file>