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关于热痉挛的叙述，错误的是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A.大量出汗后电解质补充不足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B.血中钠、氯浓度降低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C.出现肌肉痉挛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  <w:lang w:eastAsia="zh-CN"/>
        </w:rPr>
        <w:t>D.多为单侧肢体无力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E.体温多正常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患者，男，20岁。右足和右小腿被开水烫伤，有大小不一水疱。创面基底部肿胀发红，该患者烧伤面积和深度的诊断为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A.5％浅Ⅱ度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B.5％深Ⅱ度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  <w:lang w:eastAsia="zh-CN"/>
        </w:rPr>
        <w:t>C.10％浅Ⅱ度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D.10％深Ⅱ度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E.15％浅Ⅱ度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溶血性链球菌感染首选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shd w:val="clear" w:fill="FFFF00"/>
        </w:rPr>
        <w:t>A.青霉素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B.头孢唑林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C.头孢呋辛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D.克林霉素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E.去甲万古霉素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-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共用题干)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男，68岁。半年来每天排便4～5次，便中带血及黏液，突发腹胀，停止肛门排气排便2天。查体:T37.2℃。全腹轻微压痛，左侧腹部平脐可触及包块，腹部叩诊鼓音，肠鸣音6～7次/分，直肠指诊未触及肿物，实验室检查:Hb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90g/L，WBC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6.7×10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vertAlign w:val="superscript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/L，Plt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135×10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vertAlign w:val="superscript"/>
          <w:lang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/L。X线透视全腹多个气液平。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最可能的诊断是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A.结肠肝曲癌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  <w:lang w:eastAsia="zh-CN"/>
        </w:rPr>
        <w:t>B.降结肠癌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C.升结肠癌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D.横结肠癌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E.结肠脾曲癌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为明确诊断最合适的检查是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  <w:lang w:eastAsia="zh-CN"/>
        </w:rPr>
        <w:t>A.结肠镜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B.腹部B超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C.腹部CT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D.全消化道钡剂造影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E.胃镜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诊断丹毒最有意义的临床表现是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A.头痛、畏寒、高热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B.好发部位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C.色鲜红界限清楚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D.局部发生水泡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E.所属淋巴结肿大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下列乙肝病毒标记物中反映HBV有活动性复制和传染性的是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A.表面抗原（HBsAg）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B.表面抗体（抗-HBs）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C.e抗原（HBeAg）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D.e抗体（抗-HBe）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E.核心抗体（抗-HBc）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患儿，女，2岁。体检发现胸骨左缘第2～3肋间闻及收缩期杂音。肺动脉瓣区第2音亢进，伴固定性分裂。该患儿的诊断是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A.动脉导管未闭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B.房间隔缺损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C.室间隔缺损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D.法洛四联症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E.肺动脉瓣狭窄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～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题共用题干)</w:t>
      </w:r>
    </w:p>
    <w:p>
      <w:pPr>
        <w:shd w:val="clear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患儿男，8个月。腹泻3天，大便10余次／日，蛋花汤样伴少量黏液，呕吐，4～5次／日。嗜睡，口干，尿量少。体检：精神委靡，皮肤干燥，弹性较差，眼窝及前囟明显凹陷，哭时泪少。血钠132mmol／L，血钾4mmol／L。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.该患儿诊断为婴儿腹泻合并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A.轻度等渗脱水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B.中度等渗脱水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C.重度等渗脱水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D.中度高渗脱水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E.重度高渗脱水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.该患儿第一天选择的液体种类是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A.1∶4含钠液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B.2∶3∶1含钠液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C.ORS含钠液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D.1.4％碳酸氢钠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E.2∶6∶1含钠液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.第二天如需静脉补充生理需要量，液体应选择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A.10％葡萄糖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B.0.9％氯化钠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C.ORS液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D.1∶4含钠液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E.1∶1含钠液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12.</w:t>
      </w:r>
      <w:bookmarkStart w:id="0" w:name="OLE_LINK5"/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关于新生儿病理性黄疸的诊断，错误的是</w:t>
      </w:r>
      <w:bookmarkEnd w:id="0"/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A.生后24小时内出现黄疸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B.足月儿＞2周黄疸未消失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C.黄疸退而复现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D.血清总胆红素＞257μmol／L(15 mg／dl)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E.血清结合胆红素＜257μmol／L(1.5 mg／dl)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神经根型颈椎病最典型的临床表现是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恶心、欲吐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头晕、头痛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颈肩痛、麻木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持物不稳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四肢僵硬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患者，男性，20岁。癫痫病史5年，因自行终止用药导致癫痫持续状态。遵医嘱首选控制药物是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A.扑米酮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B.地西泮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C.乙琥胺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D.苯巴比妥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E.苯妥英钠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甲亢患者出现的症状不正确的是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A.多言好动、紧张焦虑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多食善饥、怕热多汗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C.心悸气短、心动过速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</w:rPr>
        <w:t>便秘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E.月经减少或闭经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关于外阴阴道假丝酵母菌病治疗原则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正确的是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A.单纯性外阴阴道假丝酵母菌病应长期使用抗生素治疗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B.一般无需对性伴侣进行治疗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C.妊娠合并外阴阴道假丝酵母菌病以局部治疗为主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D.若有糖尿病应给予积极治疗消除病因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E.局部用药可选用制霉菌素栓剂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肝硬化最严重的并发症是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shd w:val="clear" w:fill="FFFF00"/>
          <w:lang w:val="en-US" w:eastAsia="zh-CN"/>
        </w:rPr>
        <w:t>.肝性脑病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shd w:val="clear" w:fill="FFFF00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B.原发性腹膜炎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C.肝肾综合征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D.电解质紊乱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E.上消化道出血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患者，男，35岁。因急性胃炎上消化道出血就诊。其急诊胃镜检查应在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A.1周内进行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B.5天内进行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C.4天内进行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D.3天内进行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E.1～2天内进行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弓背向上的ST段抬高多见于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A.急性心肌梗死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B.陈旧性心肌梗死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C.急性心包炎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D.慢性心包炎</w:t>
      </w:r>
    </w:p>
    <w:p>
      <w:p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E.左室肥大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用刺激迷走神经的方法可以纠正的心律失常是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A.窦性心动过速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B.室颤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C.房扑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shd w:val="clear" w:fill="FFFF00"/>
        </w:rPr>
        <w:t>阵发性室上性心动过速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E.室性心动过速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下列各项中不属于“症”的是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A.头痛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B.发热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C.舌红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D.麻疹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E.恶心</w:t>
      </w:r>
    </w:p>
    <w:p>
      <w:pPr>
        <w:shd w:val="clea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D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.揉外劳宫，推三关，摩腹，揉龟尾是治疗小儿泄泻哪种证型的推拿手法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A.风寒泻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B.湿热泻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C.伤食泻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D.脾虚泻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E.脾肾阳虚泻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【答案】A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.治疗面瘫风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热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证应加的配穴是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A.阳白、颧髎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B.风池、列缺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C.颊车、地仓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D.外关、曲池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E.足三里、气海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shd w:val="clea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  <w:t>舌尖红所主病证</w:t>
      </w:r>
    </w:p>
    <w:p>
      <w:pPr>
        <w:shd w:val="clea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  <w:t>A.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  <w:t>心火上炎</w:t>
      </w:r>
    </w:p>
    <w:p>
      <w:pPr>
        <w:shd w:val="clea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  <w:t>B.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  <w:t>肝经有热</w:t>
      </w:r>
    </w:p>
    <w:p>
      <w:pPr>
        <w:shd w:val="clea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  <w:t>C.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  <w:t>虚热证</w:t>
      </w:r>
    </w:p>
    <w:p>
      <w:pPr>
        <w:shd w:val="clea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  <w:t>D.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  <w:t>外感风热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  <w:lang w:eastAsia="zh-CN"/>
        </w:rPr>
        <w:t>E.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u w:val="none"/>
        </w:rPr>
        <w:t>脾胃湿热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25.寒证患者面部颜色可见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A.青色，赤色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B.黑色，青色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C.赤色，白色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D.赤色，黑色</w:t>
      </w:r>
    </w:p>
    <w:p>
      <w:pPr>
        <w:shd w:val="clear"/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E.黄色，黑色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26.胃反的临床表现为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A.喷射状呕吐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B.呕吐酸腐味的食糜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C.朝食暮吐，暮食朝吐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D.口干欲饮，饮后则吐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u w:val="none"/>
          <w:lang w:val="en-US" w:eastAsia="zh-CN" w:bidi="ar"/>
        </w:rPr>
        <w:t>E.呕吐黏稠黄水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27.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患者2天前受寒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出现恶寒发热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头身疼痛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鼻塞流涕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舌淡红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苔薄白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脉象轻取即得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重按稍减而不空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举之有余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如水上的漂木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其主病是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A.寒证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B.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eastAsia="zh-CN"/>
        </w:rPr>
        <w:t>热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C.表证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D.里证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</w:rPr>
        <w:t>E.痛证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u w:val="none"/>
          <w:lang w:val="en-US" w:eastAsia="zh-CN" w:bidi="ar"/>
        </w:rPr>
        <w:t>【答案】C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28.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以惊悸不宁，失眠多梦，烦躁不安，苔黄腻为辨证要点的是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A.心火亢盛证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B.心阴虚证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C.痰火扰神证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D.胆郁痰扰证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E.痰蒙心神证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【答案】D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.患者，女，36岁，已婚。面色萎黄，神疲乏力，气短懒言，食少便溏，月经淋漓不断，经血色淡，舌淡无苔，脉沉细无力。其病机是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A.脾不统血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B.脾肾阳虚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C.气血两虚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D.脾肺气虚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E.肝血不足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u w:val="none"/>
        </w:rPr>
        <w:t>【答案】A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.患者身热，微恶风，头胀痛，咳嗽，痰黏或黄，咽燥，鼻塞，流黄浊涕，口干欲饮，舌苔薄白微黄，舌边尖红，脉浮数。诊断为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A.气虚感冒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B.阳虚感冒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C.阴虚感冒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D.风寒感冒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E.风热感冒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.经前或经期小腹冷痛，得热痛减，量少，色暗，有血块，畏寒肢冷。舌淡暗，苔白腻，脉沉紧，其中医治法是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A.理气行滞，化瘀止痛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B.温经祛寒，活血止痛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C.清热利湿，祛瘀止痛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D.益气补血，活血止痛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E.滋肾养肝，调经止痛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用于热病，邪入心包，高热惊厥，神昏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lang w:eastAsia="zh-CN"/>
        </w:rPr>
        <w:t>谵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语；中风昏迷及脑炎、脑膜炎、中毒性脑病、脑出血、败血症见上述证候者的中成药是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A.橘红丸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B.麝香保心丸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C.安宫牛黄丸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D.清开灵口服液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E.感冒清热颗粒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治疗脾胃虚弱，中气下陷宜选用的中成药是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A.生脉饮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B.参苓白术丸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C.补中益气丸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D.附子理中丸</w:t>
      </w:r>
    </w:p>
    <w:p>
      <w:pPr>
        <w:shd w:val="clear"/>
        <w:rPr>
          <w:rFonts w:hint="eastAsia" w:asciiTheme="minorEastAsia" w:hAnsiTheme="minorEastAsia" w:eastAsiaTheme="minorEastAsia" w:cstheme="minorEastAsia"/>
          <w:color w:val="auto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highlight w:val="none"/>
        </w:rPr>
        <w:t>E.四神丸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>34.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孕妇分娩出院后，社区医院进行产后访视的次数至少应为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A.1次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B.2次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C.3次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D.4次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E.5次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"/>
        </w:rPr>
        <w:t>【答案】B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35.气郁质的总体特征是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A.以生理缺陷、过敏反应等为主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B.以神情抑郁、忧虑脆弱等表现为主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C.以口燥咽干、手足心热等表现为主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D.以畏寒怕冷、手足不温等表现为主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E.以面垢油光、口苦、苔黄腻等表现为主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36.小儿具有的生理特点是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A.发育快，隐患大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B.活动多，睡眠也多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C.生机旺盛而又稚嫩柔软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D.体量小但新陈代谢旺盛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E.病来如山倒，病去如抽丝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37.关于痹症的发病特点，错误的是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A.不分年龄、性别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B.老年人、久病卧床者易于罹患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C.病情轻重与季节变化有关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D.久处寒冷潮湿环境易患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E.体育爱好者易于罹患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38.下列关于某食物中毒的发病特点叙述，正确的是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A.潜伏期较长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B.临床症状完全不同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C.人与人之间有传染性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D.发病与某种食物有关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E.发病曲线呈缓慢上升趋势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39.某人在参加一次聚餐3天后，突然出现发热、腹痛和腹泻。腹泻始为水样便，1天后转变为黏液脓血便，并有里急后重感。根据以上症状，应考虑的疾病和检查方法是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A.霍乱：取脓血便直接镜检伤寒：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B.取脓血便进行免疫荧光检查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 xml:space="preserve">C.细菌性痢疾：取脓血便分离肠道致病菌 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D.沙门菌食物中毒：取剩余食物分离致病菌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E.葡萄球菌食物中毒：取剩余食物分离致病菌</w:t>
      </w:r>
    </w:p>
    <w:p>
      <w:pPr>
        <w:keepNext w:val="0"/>
        <w:keepLines w:val="0"/>
        <w:widowControl w:val="0"/>
        <w:suppressLineNumbers w:val="0"/>
        <w:shd w:val="clear"/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40.1岁以后儿童完成计划免疫复种的第一个疫苗是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A.乙脑疫苗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B.百白破疫苗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C.乙肝疫苗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D.麻疹疫苗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E.卡介苗</w:t>
      </w:r>
    </w:p>
    <w:p>
      <w:pPr>
        <w:shd w:val="clear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numPr>
          <w:ilvl w:val="0"/>
          <w:numId w:val="0"/>
        </w:numPr>
        <w:shd w:val="clear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.患病率通常用来表示</w:t>
      </w:r>
    </w:p>
    <w:p>
      <w:pPr>
        <w:numPr>
          <w:ilvl w:val="0"/>
          <w:numId w:val="0"/>
        </w:numPr>
        <w:shd w:val="clear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A.病程短的慢性病的发生或流行情况</w:t>
      </w:r>
    </w:p>
    <w:p>
      <w:pPr>
        <w:numPr>
          <w:ilvl w:val="0"/>
          <w:numId w:val="0"/>
        </w:numPr>
        <w:shd w:val="clear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B.病程长的慢性病的发生或流行情况</w:t>
      </w:r>
    </w:p>
    <w:p>
      <w:pPr>
        <w:numPr>
          <w:ilvl w:val="0"/>
          <w:numId w:val="0"/>
        </w:numPr>
        <w:shd w:val="clear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C.病程短的传染病的发生或流行情况</w:t>
      </w:r>
    </w:p>
    <w:p>
      <w:pPr>
        <w:numPr>
          <w:ilvl w:val="0"/>
          <w:numId w:val="0"/>
        </w:numPr>
        <w:shd w:val="clear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D.暴发疾病的发生和流行情况</w:t>
      </w:r>
    </w:p>
    <w:p>
      <w:pPr>
        <w:numPr>
          <w:ilvl w:val="0"/>
          <w:numId w:val="0"/>
        </w:numPr>
        <w:shd w:val="clear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eastAsia="zh-CN"/>
        </w:rPr>
        <w:t>E.流行疾病的发生和流行情况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【答案】B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.艾滋病健康教育的目标人群包括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A.艾滋病病毒感染者、艾滋病病人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B.吸毒、同性恋者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C.艾滋病病人的亲属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D.流动人口、服务行业人员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E.以上各项都正确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.不宜在2～8℃条件下运输和避光储存的是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A.乙肝疫苗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B.麻疹疫苗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C.百白破疫苗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D.脊灰疫苗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E.A+C群流脑疫苗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.患者，女，30岁。近年来出现持续的打砸行为，不分场合，针对财物或人，不能接受劝说而停止，还有包括自伤、自杀、伤害自身的行为，以上行为属于危险性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A.0级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B.1级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C.2级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D.3级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E.4级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.高危人群的高血压患者血压应多久测量一次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A.半个月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B.一个月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C.三个月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D.半年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E.一年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.关于对高血压患者的随访错误的是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A.原发性高血压患者每年要提供至少4次面对面随访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B.原发性高血压患者每3个月至少随访1次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C.测量体重、心率，计算体质指数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D.询问患者疾病情况和生活方式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E.不用了解患者服药情况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【答案】E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.患者，男性，56岁，多饮、多尿、多食2个月，体重减轻，餐后2小时血糖13.5mmol/L，确诊糖尿病，该患者每年应至少测几次血糖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A.1次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B.2次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C.3次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D.4次</w:t>
      </w:r>
    </w:p>
    <w:p>
      <w:pPr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E.5次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widowControl w:val="0"/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48.室内空气污染对健康的危害不包括</w:t>
      </w:r>
    </w:p>
    <w:p>
      <w:pPr>
        <w:widowControl w:val="0"/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A.SO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和NO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vertAlign w:val="sub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对呼吸道有损伤</w:t>
      </w:r>
    </w:p>
    <w:p>
      <w:pPr>
        <w:widowControl w:val="0"/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B.CO会引起急性中毒</w:t>
      </w:r>
    </w:p>
    <w:p>
      <w:pPr>
        <w:widowControl w:val="0"/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C.CO可损伤心肌和中枢神经</w:t>
      </w:r>
    </w:p>
    <w:p>
      <w:pPr>
        <w:widowControl w:val="0"/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D.颗粒物中不含有多环芳烃</w:t>
      </w:r>
    </w:p>
    <w:p>
      <w:pPr>
        <w:widowControl w:val="0"/>
        <w:numPr>
          <w:ilvl w:val="0"/>
          <w:numId w:val="0"/>
        </w:numPr>
        <w:shd w:val="clear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/>
        </w:rPr>
        <w:t>E.颗粒物可致癌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【答案】D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.当病人对医生所实施的诊治手段有质疑时，医生必须详细介绍，在病人愿意时才能继续进行，这属于患者的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A.平等医疗权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B.疾病认知权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C.知情同意权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D.社会责任权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E.保护隐私权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.医师在执业活动中享有的权利之一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lang w:eastAsia="zh-CN"/>
        </w:rPr>
        <w:t>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A.宣传普及卫生保健知识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B.尊重患者隐私权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C.人格尊严、人身安全不受侵犯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D.努力钻研业务，及时更新知识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E.爱岗敬业，努力工作</w:t>
      </w:r>
    </w:p>
    <w:p>
      <w:pPr>
        <w:shd w:val="clear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【答案】C</w:t>
      </w:r>
    </w:p>
    <w:p>
      <w:pPr>
        <w:shd w:val="clear"/>
        <w:bidi w:val="0"/>
        <w:jc w:val="left"/>
        <w:rPr>
          <w:rFonts w:hint="eastAsia" w:asciiTheme="minorEastAsia" w:hAnsiTheme="minorEastAsia" w:cstheme="minorEastAsia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4"/>
          <w:lang w:val="en-US" w:eastAsia="zh-CN" w:bidi="ar-SA"/>
        </w:rPr>
        <w:t>预测考点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烧伤面积计算：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发部、面部、颈部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各占3%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双手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5%，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双前臂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6%，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双上臂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7%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躯干前后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部各占13%，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会阴部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1%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臀部占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5%，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双足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7%，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双小腿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13%，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双大腿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21%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成人女性臀大足小，各占6%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头面颈部面积%＝9+（12-年龄）臀部及双下肢面积%＝46-（12-年龄）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针对主要敏感菌的治疗</w:t>
      </w:r>
    </w:p>
    <w:tbl>
      <w:tblPr>
        <w:tblStyle w:val="4"/>
        <w:tblW w:w="818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202"/>
        <w:gridCol w:w="4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细菌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</w:rPr>
              <w:t>用药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7" w:hRule="atLeast"/>
          <w:tblCellSpacing w:w="0" w:type="dxa"/>
          <w:jc w:val="center"/>
        </w:trPr>
        <w:tc>
          <w:tcPr>
            <w:tcW w:w="3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溶血性链球菌（皮肤感染、猩红热、风湿等）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首选青霉素或氨苄西林，次选头孢唑林等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173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肺炎链球菌（大叶肺）</w:t>
            </w:r>
          </w:p>
        </w:tc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青霉素敏感株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首选青霉素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17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</w:p>
        </w:tc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青霉素不敏感株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宜选头孢曲松，可选氟喹诺酮类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173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</w:p>
        </w:tc>
        <w:tc>
          <w:tcPr>
            <w:tcW w:w="22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链球菌和脑膜炎球菌所致化脑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首选头孢曲松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3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大肠埃希菌、肺炎克雷伯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首选（二代或三代头孢），次选氟喹诺酮类或氨基糖苷类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9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铜绿假单胞菌（院内获得性肺炎）</w:t>
            </w:r>
          </w:p>
        </w:tc>
        <w:tc>
          <w:tcPr>
            <w:tcW w:w="4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首选头孢他啶或头孢吡肟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结、直肠癌常见的组织学类型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腺癌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。转移最常见的受累器官为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肝，其次是肺、骨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丹毒是皮肤淋巴管网受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乙型溶血性链球菌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侵袭感染所致的急性非化脓性炎症。起病急，开始即可有畏寒、发热、头痛、全身不适等。病变多见于下肢，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表现为片状皮肤红疹、微隆起、色鲜红、中间稍淡、境界较清楚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乙肝抗原抗体：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①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HBsA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eastAsia="zh-CN"/>
        </w:rPr>
        <w:t>g阳性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存在感染；无复制无传染性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；②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HBsAb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eastAsia="zh-CN"/>
        </w:rPr>
        <w:t>阳性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保护性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；③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HBcA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eastAsia="zh-CN"/>
        </w:rPr>
        <w:t>g阴性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有传染性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④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HBcAb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eastAsia="zh-CN"/>
        </w:rPr>
        <w:t>阳性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I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M——近期，活动；I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G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——曾经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⑤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HBeA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eastAsia="zh-CN"/>
        </w:rPr>
        <w:t>g阳性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有传染性；正在复制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⑥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HBeAb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  <w:lang w:eastAsia="zh-CN"/>
        </w:rPr>
        <w:t>阳性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恢复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.先天性心脏病是小儿最常见的心脏病。以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>室间隔缺损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CN"/>
        </w:rPr>
        <w:t>最多，其次是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lang w:val="en-US" w:eastAsia="zh-CN"/>
        </w:rPr>
        <w:t>房间隔缺损，动脉导管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未闭和肺动脉狭窄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法洛四联症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右向左分流型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，杂音位于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第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2、4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肋间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４级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喷射性收缩期杂音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２</w:t>
      </w: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减低。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房间隔缺损：</w:t>
      </w:r>
      <w:r>
        <w:rPr>
          <w:rFonts w:hint="eastAsia" w:ascii="宋体" w:hAnsi="宋体" w:eastAsia="宋体" w:cs="宋体"/>
          <w:sz w:val="21"/>
          <w:szCs w:val="21"/>
        </w:rPr>
        <w:t>左向右分流型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，杂音位于第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2、3</w:t>
      </w:r>
      <w:r>
        <w:rPr>
          <w:rFonts w:hint="eastAsia" w:ascii="宋体" w:hAnsi="宋体" w:eastAsia="宋体" w:cs="宋体"/>
          <w:sz w:val="21"/>
          <w:szCs w:val="21"/>
        </w:rPr>
        <w:t>肋间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收缩期吹风样杂音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２</w:t>
      </w:r>
      <w:r>
        <w:rPr>
          <w:rFonts w:hint="eastAsia" w:ascii="宋体" w:hAnsi="宋体" w:eastAsia="宋体" w:cs="宋体"/>
          <w:sz w:val="21"/>
          <w:szCs w:val="21"/>
        </w:rPr>
        <w:t>亢进分裂固定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室间隔缺损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左向右分流型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，杂音位于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3、4</w:t>
      </w:r>
      <w:r>
        <w:rPr>
          <w:rFonts w:hint="eastAsia" w:ascii="宋体" w:hAnsi="宋体" w:eastAsia="宋体" w:cs="宋体"/>
          <w:sz w:val="21"/>
          <w:szCs w:val="21"/>
        </w:rPr>
        <w:t>肋间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２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sz w:val="21"/>
          <w:szCs w:val="21"/>
        </w:rPr>
        <w:t>５级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粗糙的收缩期杂音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２</w:t>
      </w:r>
      <w:r>
        <w:rPr>
          <w:rFonts w:hint="eastAsia" w:ascii="宋体" w:hAnsi="宋体" w:eastAsia="宋体" w:cs="宋体"/>
          <w:sz w:val="21"/>
          <w:szCs w:val="21"/>
        </w:rPr>
        <w:t>亢进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动脉导管未闭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左向右分流型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，杂音位于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第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肋间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～</w:t>
      </w:r>
      <w:r>
        <w:rPr>
          <w:rFonts w:hint="eastAsia" w:ascii="宋体" w:hAnsi="宋体" w:eastAsia="宋体" w:cs="宋体"/>
          <w:sz w:val="21"/>
          <w:szCs w:val="21"/>
        </w:rPr>
        <w:t>４级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连续性机器样音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亢进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小儿</w:t>
      </w:r>
      <w:r>
        <w:rPr>
          <w:rFonts w:hint="eastAsia" w:ascii="宋体" w:hAnsi="宋体" w:eastAsia="宋体" w:cs="宋体"/>
          <w:sz w:val="21"/>
          <w:szCs w:val="21"/>
        </w:rPr>
        <w:t>轻度脱水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失水量(＜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％)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精神状态稍差略烦躁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皮肤、黏膜稍干燥弹性好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前囟、眼窝稍凹陷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中度脱水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失水量(5%～10%)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精神状态萎靡烦躁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皮肤、黏膜明显干燥弹性差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前囟、眼窝明显凹陷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重度脱水：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失水量(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＞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％)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精神状态淡漠昏睡昏迷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皮肤、黏膜极干燥弹性极差花纹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前囟、眼窝深度凹陷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低渗性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脱水：血钠</w:t>
      </w:r>
      <w:r>
        <w:rPr>
          <w:rFonts w:hint="eastAsia" w:ascii="宋体" w:hAnsi="宋体" w:eastAsia="宋体" w:cs="宋体"/>
          <w:sz w:val="21"/>
          <w:szCs w:val="21"/>
        </w:rPr>
        <w:t>&lt;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mmol/L 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等渗性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脱水：血钠浓度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130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mmol/L 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高渗性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脱水：血钠＞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mmol/L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8.新生儿黄疸</w:t>
      </w:r>
    </w:p>
    <w:tbl>
      <w:tblPr>
        <w:tblStyle w:val="4"/>
        <w:tblW w:w="774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3027"/>
        <w:gridCol w:w="30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分类</w:t>
            </w:r>
          </w:p>
        </w:tc>
        <w:tc>
          <w:tcPr>
            <w:tcW w:w="3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生理性黄疸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病理性黄疸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t>出现时间</w:t>
            </w:r>
          </w:p>
        </w:tc>
        <w:tc>
          <w:tcPr>
            <w:tcW w:w="3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生后2-3d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生后＜1d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t>消退时间</w:t>
            </w:r>
          </w:p>
        </w:tc>
        <w:tc>
          <w:tcPr>
            <w:tcW w:w="3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生后≤2-4w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生后＞2-4w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t>退而复现</w:t>
            </w:r>
          </w:p>
        </w:tc>
        <w:tc>
          <w:tcPr>
            <w:tcW w:w="3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无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t>血清胆红素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t>（上升/天）</w:t>
            </w:r>
          </w:p>
        </w:tc>
        <w:tc>
          <w:tcPr>
            <w:tcW w:w="3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＜221-257（12.9-15）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—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＞221-257（12.9-15）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＞85（5）/＞34（2）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18"/>
              </w:rPr>
              <w:t>一般状态</w:t>
            </w:r>
          </w:p>
        </w:tc>
        <w:tc>
          <w:tcPr>
            <w:tcW w:w="3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良好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18"/>
              </w:rPr>
              <w:t>差</w:t>
            </w:r>
          </w:p>
        </w:tc>
      </w:tr>
    </w:tbl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甲状腺功能亢进症的诊断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：①有高代谢症状和体征；②甲状腺肿，伴或不伴血管杂音；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③血清FT3、FT4（或TT3、TT4）增高并TSH降低。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10.阴道炎</w:t>
      </w:r>
    </w:p>
    <w:tbl>
      <w:tblPr>
        <w:tblStyle w:val="4"/>
        <w:tblW w:w="8799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138"/>
        <w:gridCol w:w="2141"/>
        <w:gridCol w:w="1971"/>
        <w:gridCol w:w="1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　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滴虫阴道炎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外阴阴道假丝酵母菌病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细菌性阴道病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萎缩性阴道炎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外阴瘙痒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轻度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重度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无或轻度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灼热、瘙痒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分泌物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稀薄脓性、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泡沫状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、有臭味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白色稠厚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  <w:t>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凝乳或豆腐渣样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均质、稀薄、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鱼腥样臭味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黄水样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  <w:t>、严重时呈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脓性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显微镜检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阴道毛滴虫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芽胞和假菌丝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线索细胞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u w:val="none"/>
              </w:rPr>
              <w:t>基底层细胞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18"/>
                <w:u w:val="none"/>
              </w:rPr>
              <w:t>及白细胞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治疗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全身：甲硝唑、替硝唑</w:t>
            </w:r>
          </w:p>
        </w:tc>
        <w:tc>
          <w:tcPr>
            <w:tcW w:w="21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全身和局部：唑类药物</w:t>
            </w:r>
          </w:p>
        </w:tc>
        <w:tc>
          <w:tcPr>
            <w:tcW w:w="1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全身：甲硝唑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局部：甲硝唑栓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全身或局部用雌激素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18"/>
                <w:u w:val="none"/>
              </w:rPr>
              <w:t>局部抗生素</w:t>
            </w:r>
          </w:p>
        </w:tc>
      </w:tr>
    </w:tbl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肝硬化失代偿期门静脉高压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最常见、最突出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腹水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。最常见的并发症：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上消化道出血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诊断：内镜检查最可靠，确诊静脉曲张。）最严重的并发症和最常见最重要死亡原因：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肝性脑病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。食管和胃底静脉曲张——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肝硬化特征性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表现。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12.房性早搏：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P波提前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，QRS波形态正常。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室性早搏：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提前的QRS波，其前无相关的P波；QRS宽大畸形伴ST异常；T波与QRS主波方向相反；代偿间歇完全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阵发性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室上速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（又快又齐）：QRS波形态正常、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突发突止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心率增快至每分钟150-240次，可能持续数秒，数小时或数日，可突然中止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处理：压迫单侧颈动脉窦，首选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维拉帕米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阵发性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室速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（又快又不齐）：QRS宽大畸形。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首选利多卡因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（是急性心梗患者并发室速的首选）。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伴严重低血压、心衰首选电复律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spacing w:before="1" w:line="314" w:lineRule="exact"/>
        <w:ind w:leftChars="0" w:right="24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房颤诊断：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最常见的是风心病二尖瓣狭窄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，其次是冠心病和高血压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。体征：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u w:val="none"/>
        </w:rPr>
        <w:t>心律绝对不规则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；②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第一心音强弱不等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心律绝对不齐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；③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心率与脉率不等（短促脉）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.病：疾病的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全过程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。症：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症状和体征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的总称，疾病的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个别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表现。证：证候，疾病发展过程中的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某一阶段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的病理性概括。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面色：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青色：主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寒证、气滞、血瘀、疼痛、惊风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050" w:firstLineChars="5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赤色：主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热证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，亦可见于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戴阳证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黄色：主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脾虚、湿证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白色：主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虚证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(包括血虚、气虚、阳虚)、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寒证、失血证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1050" w:firstLineChars="5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黑色：主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肾虚、寒证、水饮、血瘀、剧痛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16.舌色：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红舌：主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实热、阴虚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绛舌：主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里热亢盛、阴虚火旺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青紫舌：主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血气瘀滞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17.苔色：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白苔：主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表证、寒证、湿证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1050" w:firstLineChars="5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黄苔：主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热证、里证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胃反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：朝食暮吐、暮食朝吐——脾胃阳虚。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水逆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：口干欲饮，饮后则吐——饮邪停胃，胃气上逆。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.恶寒发热：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恶寒重发热轻——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风寒表证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；发热轻而恶风——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伤风表证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；发热重恶寒轻——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风热表证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寒热往来：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无定时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——多见于少阳病，为半表半里证；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有定时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——常见于疟疾。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.刺痛：是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瘀血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致痛的特点。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酸痛：多因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湿邪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侵袭肌肉关节  ，气血运行不畅所致。亦可因肾虚骨髓失养引起。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.怒伤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；喜伤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；悲忧伤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；思伤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；惊恐伤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怒则气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；喜则气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；悲（忧）则气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；恐则气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；惊则气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；思则气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22.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肝郁痰扰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证：胆怯、惊悸、烦躁、失眠、眩晕、呕恶等。</w:t>
      </w:r>
    </w:p>
    <w:p>
      <w:pPr>
        <w:numPr>
          <w:ilvl w:val="0"/>
          <w:numId w:val="0"/>
        </w:numPr>
        <w:ind w:leftChars="0"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痰蒙心神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证：神志抑郁、错乱、痴呆、昏迷与痰浊症状共见。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痰火扰神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证：神志狂躁、神昏谵语与痰热症状共见。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肾气不固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证：腰膝酸软，小便、精液、经带、胎气不固与气虚症状共见。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风热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感冒：发热恶风，脉浮数——辛凉解表，宣肺清热——银翘解毒片/丸、双黄连合剂。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行痹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：疼痛呈游走性，初起可见有恶风、发热等表证——祛风通络，散寒除湿——九味羌活丸、祖师麻片。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小儿腹泻：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风寒泻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——揉外劳宫，推三关，摩腹，揉龟尾；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湿热泻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——清补脾土，清大肠，清小肠，退六腑；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伤食泻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——推板门，清大肠，补脾土，摩腹，逆运外八卦；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脾虚泻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——推三关，补脾土，补大肠，摩腹，推上七节  骨，捏脊。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面瘫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配穴：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风寒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风池、列缺；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风热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外关、曲池；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气血不足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足三里、气海；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人中沟歪斜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水沟；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鼻唇沟浅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迎香。</w:t>
      </w:r>
    </w:p>
    <w:p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.安宫牛黄丸：本品含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朱砂、雄黄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，不宜过量久服，神志清醒后当停用；含有雄黄。不宜与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硝酸盐、硫酸盐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类同服。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.补中益气丸：补中益气，升阳举陷——用于脾胃虚弱、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中气下陷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所致的泄泻、脱肛、阴挺。高血压患者慎服。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29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重大公共卫生服务项目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包括：艾滋病等重大疾病防控、农村孕产妇住院分娩、贫困白内障患者复明、农村改水改厕、消除燃煤型氟中毒、15岁以下人群补种乙肝疫苗、农村妇女孕前和孕早期增补叶酸预防出生缺陷，以及农村妇女乳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腺癌、宫颈癌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检查等项目。</w:t>
      </w:r>
    </w:p>
    <w:p>
      <w:pP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30.中医预防与养生保健基本原则：天人相应，顺应自然；形神合一，形神共养；动静互涵，协调平衡；重视先兆，防微杜渐。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人口自然增长率=粗出生率-粗死亡率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.患病率的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分子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是指观察期间内被观察人群中所有的病例，患病率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分母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为被观察人群的总人口数或该人群的平均人口数。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.疾病的三间分布指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时间分布、地区分布、人群分布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时间分布的特点：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短期波动、季节  性、周期性、长期变异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艾滋病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健康教育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目标人群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：艾滋病病毒感染者、艾滋病患者、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高危人群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（卖淫嫖娼者、吸毒者、同性恋者、受劳动教养的人员以及性病患者、艾滋病病毒感染者和艾滋病患者的亲属）、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重点人群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（年轻人、流动人口、宾馆或服务行业人员、长途汽车司机）。</w:t>
      </w:r>
    </w:p>
    <w:p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35.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影响人群易感性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升高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的主要因素有新生儿增加、易感人口迁人、免疫人口免疫力自然消退和免疫力人口死亡等。影响人群易感性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降低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的主要因素有计划免疫、传染病流行和隐性感染等。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"/>
        </w:rPr>
        <w:t>36.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脊灰减毒活疫苗在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-20℃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以下保存，运输过程可在冷藏条件下进行。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.儿童体重的简单估算公式：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＜6月龄婴儿体重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=出生体重(kg)+月龄× 0.7；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7～12月龄婴儿体重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=6 (kg)+月龄× 0.25；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2岁至青春前期儿童体重(kg)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=年龄(岁)× 2+7(或8)。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.2～12岁儿童身高的简单估算公式：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身长（cm）=年龄(岁)× 6+77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产后1周内、28天、42天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分别进行家庭访视1次。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.对辖区内35岁及以上常住居民，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每年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为其免费测量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一次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血压(非同日3次测量)。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建议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高危人群每半年至少测量1次血压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，并接受医务人员的生活方式指导。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.对2型糖尿病高危人群建议其每年至少测量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1次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空腹血糖。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对确诊的2型糖尿病患者，每年提供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4次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免费空腹血糖检测，至少进行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4次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面对面随访，每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3个月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至少随访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1次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.特禀质：先天失常，以生理缺陷、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过敏反应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43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.小儿具有生机旺盛而又稚嫩柔软的生理特点，一方面生机蓬勃，发育旺盛；另一方面脏腑娇嫩，形气未充。其“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发病容易，传变迅速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”而又“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脏气清灵，易趋康复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4.食物中毒发生的原因和临床表现：发病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潜伏期短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，来势急剧；发病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与食物有关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；中毒病人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临床表现基本相似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；中毒病人对健康人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不具有传染性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室内来源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的污染物主要为室内燃料燃烧、人的活动、室内建筑装饰材料、生物性污染、家用电器等。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心理治疗的原则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：保密原则、真诚原则、“中立”原则、回避原则。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.中医学的道德传统：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对待患者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——至亲之想；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治学态度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——至精至微；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服务态度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——心赴救；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医疗作风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——端正纯良；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对待同道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——谦和谨慎。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.医学伦理的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基本原则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具体包括尊重、有利、不伤害、公正四个原则。</w:t>
      </w:r>
    </w:p>
    <w:p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49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患者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的道德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权利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：平等医疗权、知情同意权、隐私保护权、损害索赔权、医疗监督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权。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50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.处方一般不得超过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7日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用量；急诊处方一般不得超过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3日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用量。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盐酸二氢埃托啡处方为一次常用量，仅限于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二级以上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医院内使用；盐酸哌替啶处方为一次常用量，仅限于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  <w:t>医疗机构内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使用。</w:t>
      </w:r>
    </w:p>
    <w:p/>
    <w:p>
      <w:pPr>
        <w:shd w:val="clear"/>
        <w:bidi w:val="0"/>
        <w:jc w:val="left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A3FA6"/>
    <w:rsid w:val="357A09BC"/>
    <w:rsid w:val="595A3FA6"/>
    <w:rsid w:val="6BDA3317"/>
    <w:rsid w:val="6FE27C99"/>
    <w:rsid w:val="7462265D"/>
    <w:rsid w:val="74B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spacing w:line="292" w:lineRule="exact"/>
      <w:ind w:left="107"/>
    </w:pPr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2019-08-19T11:28:00Z</dcterms:created>
  <dc:creator>qzuser</dc:creator>
  <cp:lastModifiedBy>首席执行官</cp:lastModifiedBy>
  <dcterms:modified xsi:type="dcterms:W3CDTF">2019-08-22T14:08:51Z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