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/>
        <w:ind w:left="1651" w:right="1649" w:firstLine="0"/>
        <w:jc w:val="center"/>
        <w:rPr>
          <w:b/>
          <w:sz w:val="24"/>
          <w:szCs w:val="24"/>
        </w:rPr>
      </w:pPr>
      <w:bookmarkStart w:id="0" w:name="_GoBack"/>
      <w:r>
        <w:rPr>
          <w:rFonts w:ascii="Calibri" w:eastAsia="Calibri"/>
          <w:b/>
          <w:sz w:val="24"/>
          <w:szCs w:val="24"/>
        </w:rPr>
        <w:t xml:space="preserve">2019 </w:t>
      </w:r>
      <w:r>
        <w:rPr>
          <w:b/>
          <w:sz w:val="24"/>
          <w:szCs w:val="24"/>
        </w:rPr>
        <w:t>年口腔综合主治相关专业知识考试大纲</w:t>
      </w:r>
      <w:bookmarkEnd w:id="0"/>
    </w:p>
    <w:tbl>
      <w:tblPr>
        <w:tblStyle w:val="9"/>
        <w:tblpPr w:leftFromText="180" w:rightFromText="180" w:vertAnchor="text" w:horzAnchor="page" w:tblpX="2004" w:tblpY="306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843"/>
        <w:gridCol w:w="4961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7" w:type="dxa"/>
          </w:tcPr>
          <w:p>
            <w:pPr>
              <w:pStyle w:val="12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1843" w:type="dxa"/>
          </w:tcPr>
          <w:p>
            <w:pPr>
              <w:pStyle w:val="12"/>
              <w:spacing w:before="20"/>
              <w:ind w:left="690" w:right="683"/>
              <w:jc w:val="center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4961" w:type="dxa"/>
          </w:tcPr>
          <w:p>
            <w:pPr>
              <w:pStyle w:val="12"/>
              <w:spacing w:before="20"/>
              <w:ind w:left="2248" w:right="2243"/>
              <w:jc w:val="center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901" w:type="dxa"/>
          </w:tcPr>
          <w:p>
            <w:pPr>
              <w:pStyle w:val="12"/>
              <w:spacing w:before="20"/>
              <w:ind w:left="238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817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spacing w:line="278" w:lineRule="auto"/>
              <w:ind w:left="107" w:right="97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一、口</w:t>
            </w:r>
            <w:r>
              <w:rPr>
                <w:spacing w:val="19"/>
                <w:sz w:val="21"/>
              </w:rPr>
              <w:t>腔 内</w:t>
            </w:r>
            <w:r>
              <w:rPr>
                <w:sz w:val="21"/>
              </w:rPr>
              <w:t>科学</w:t>
            </w:r>
          </w:p>
        </w:tc>
        <w:tc>
          <w:tcPr>
            <w:tcW w:w="1843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8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牙体牙髓疾病</w:t>
            </w:r>
          </w:p>
        </w:tc>
        <w:tc>
          <w:tcPr>
            <w:tcW w:w="4961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龋病的病因学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牙根纵裂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先天性梅毒牙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牙本质发育异常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其他牙形态异常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牙数目异常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萌出异常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牙髓钙化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牙内吸收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740"/>
              </w:tabs>
              <w:spacing w:before="43" w:after="0" w:line="240" w:lineRule="auto"/>
              <w:ind w:left="739" w:right="0" w:hanging="634"/>
              <w:jc w:val="left"/>
              <w:rPr>
                <w:sz w:val="21"/>
              </w:rPr>
            </w:pPr>
            <w:r>
              <w:rPr>
                <w:sz w:val="21"/>
              </w:rPr>
              <w:t>大面积龋损的修复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740"/>
              </w:tabs>
              <w:spacing w:before="43" w:after="0" w:line="240" w:lineRule="auto"/>
              <w:ind w:left="739" w:right="0" w:hanging="634"/>
              <w:jc w:val="left"/>
              <w:rPr>
                <w:sz w:val="21"/>
              </w:rPr>
            </w:pPr>
            <w:r>
              <w:rPr>
                <w:sz w:val="21"/>
              </w:rPr>
              <w:t>后牙复合树脂嵌体修复术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740"/>
              </w:tabs>
              <w:spacing w:before="43" w:after="0" w:line="240" w:lineRule="auto"/>
              <w:ind w:left="739" w:right="0" w:hanging="634"/>
              <w:jc w:val="left"/>
              <w:rPr>
                <w:sz w:val="21"/>
              </w:rPr>
            </w:pPr>
            <w:r>
              <w:rPr>
                <w:sz w:val="21"/>
              </w:rPr>
              <w:t>根管外科手术</w:t>
            </w:r>
          </w:p>
        </w:tc>
        <w:tc>
          <w:tcPr>
            <w:tcW w:w="901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106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8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8"/>
              <w:rPr>
                <w:b/>
                <w:sz w:val="25"/>
              </w:rPr>
            </w:pPr>
          </w:p>
          <w:p>
            <w:pPr>
              <w:pStyle w:val="12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牙周疾病</w:t>
            </w:r>
          </w:p>
        </w:tc>
        <w:tc>
          <w:tcPr>
            <w:tcW w:w="4961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牙周病的全身易感因素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牙龈瘤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白血病的牙龈病损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急性多发性龈脓肿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牙龈纤维瘤病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根分叉病变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反映全身疾病的牙周炎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牙周炎与全身健康的关系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松牙固定术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40"/>
              </w:tabs>
              <w:spacing w:before="43" w:after="0" w:line="240" w:lineRule="auto"/>
              <w:ind w:left="739" w:right="0" w:hanging="634"/>
              <w:jc w:val="left"/>
              <w:rPr>
                <w:sz w:val="21"/>
              </w:rPr>
            </w:pPr>
            <w:r>
              <w:rPr>
                <w:sz w:val="21"/>
              </w:rPr>
              <w:t>牙龈切除术和牙龈成形术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40"/>
              </w:tabs>
              <w:spacing w:before="43" w:after="0" w:line="240" w:lineRule="auto"/>
              <w:ind w:left="739" w:right="0" w:hanging="634"/>
              <w:jc w:val="left"/>
              <w:rPr>
                <w:sz w:val="21"/>
              </w:rPr>
            </w:pPr>
            <w:r>
              <w:rPr>
                <w:sz w:val="21"/>
              </w:rPr>
              <w:t>翻瓣术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40"/>
              </w:tabs>
              <w:spacing w:before="43" w:after="0" w:line="240" w:lineRule="auto"/>
              <w:ind w:left="739" w:right="0" w:hanging="634"/>
              <w:jc w:val="left"/>
              <w:rPr>
                <w:sz w:val="21"/>
              </w:rPr>
            </w:pPr>
            <w:r>
              <w:rPr>
                <w:sz w:val="21"/>
              </w:rPr>
              <w:t>截根术、分根术及半切除术</w:t>
            </w:r>
          </w:p>
        </w:tc>
        <w:tc>
          <w:tcPr>
            <w:tcW w:w="901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15"/>
              </w:rPr>
            </w:pPr>
          </w:p>
          <w:p>
            <w:pPr>
              <w:pStyle w:val="12"/>
              <w:ind w:left="106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儿童牙病</w:t>
            </w:r>
          </w:p>
        </w:tc>
        <w:tc>
          <w:tcPr>
            <w:tcW w:w="4961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21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第一恒磨牙的发育萌出特点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牙齿萌出异常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根尖诱导成形术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乳牙早失后的间隙保持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乳牙和年轻恒牙的拔除</w:t>
            </w:r>
          </w:p>
        </w:tc>
        <w:tc>
          <w:tcPr>
            <w:tcW w:w="901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3"/>
              <w:ind w:left="106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11"/>
              <w:rPr>
                <w:b/>
                <w:sz w:val="20"/>
              </w:rPr>
            </w:pPr>
          </w:p>
          <w:p>
            <w:pPr>
              <w:pStyle w:val="12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口腔黏膜疾病</w:t>
            </w:r>
          </w:p>
        </w:tc>
        <w:tc>
          <w:tcPr>
            <w:tcW w:w="4961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21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白塞病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血管神经性水肿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多性渗出性红斑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口腔盘状红斑狼疮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口腔红斑病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口腔结核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口腔梅毒和淋病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69" w:lineRule="exact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系统疾病的口腔黏膜表现</w:t>
            </w:r>
          </w:p>
        </w:tc>
        <w:tc>
          <w:tcPr>
            <w:tcW w:w="901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1"/>
              <w:rPr>
                <w:b/>
                <w:sz w:val="26"/>
              </w:rPr>
            </w:pPr>
          </w:p>
          <w:p>
            <w:pPr>
              <w:pStyle w:val="12"/>
              <w:ind w:left="106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17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10"/>
              <w:rPr>
                <w:b/>
                <w:sz w:val="20"/>
              </w:rPr>
            </w:pPr>
          </w:p>
          <w:p>
            <w:pPr>
              <w:pStyle w:val="12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>口腔预防医学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20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口腔流行病学的研究方法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口腔健康调查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口腔癌的预防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特定人群口腔保健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口腔健康教育与促进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社区口腔保健与项目管理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口腔医疗的感染控制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常用医学统计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26"/>
              </w:rPr>
            </w:pPr>
          </w:p>
          <w:p>
            <w:pPr>
              <w:pStyle w:val="12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17" w:type="dxa"/>
            <w:vMerge w:val="restart"/>
            <w:tcBorders>
              <w:top w:val="nil"/>
            </w:tcBorders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16"/>
              </w:rPr>
            </w:pPr>
          </w:p>
          <w:p>
            <w:pPr>
              <w:pStyle w:val="12"/>
              <w:spacing w:line="278" w:lineRule="auto"/>
              <w:ind w:left="107" w:right="43"/>
              <w:rPr>
                <w:sz w:val="21"/>
              </w:rPr>
            </w:pPr>
            <w:r>
              <w:rPr>
                <w:sz w:val="21"/>
              </w:rPr>
              <w:t>二、口腔 颌</w:t>
            </w:r>
          </w:p>
          <w:p>
            <w:pPr>
              <w:pStyle w:val="12"/>
              <w:spacing w:line="278" w:lineRule="auto"/>
              <w:ind w:left="107" w:leftChars="0" w:right="97" w:rightChars="0"/>
              <w:rPr>
                <w:sz w:val="2"/>
                <w:szCs w:val="2"/>
              </w:rPr>
            </w:pPr>
            <w:r>
              <w:rPr>
                <w:sz w:val="21"/>
              </w:rPr>
              <w:t>面 外科学</w:t>
            </w:r>
          </w:p>
        </w:tc>
        <w:tc>
          <w:tcPr>
            <w:tcW w:w="1843" w:type="dxa"/>
            <w:vAlign w:val="top"/>
          </w:tcPr>
          <w:p>
            <w:pPr>
              <w:pStyle w:val="12"/>
              <w:spacing w:before="22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 </w:t>
            </w:r>
            <w:r>
              <w:rPr>
                <w:sz w:val="21"/>
              </w:rPr>
              <w:t>牙槽外科和口</w:t>
            </w:r>
          </w:p>
          <w:p>
            <w:pPr>
              <w:pStyle w:val="12"/>
              <w:spacing w:before="41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腔颌面部感染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牙再植术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化脓性颌骨骨髓炎的临床表现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76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17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spacing w:before="22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2. </w:t>
            </w:r>
            <w:r>
              <w:rPr>
                <w:sz w:val="21"/>
              </w:rPr>
              <w:t>口腔颌面创伤</w:t>
            </w:r>
          </w:p>
          <w:p>
            <w:pPr>
              <w:pStyle w:val="12"/>
              <w:spacing w:before="43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的特点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口腔颌面创伤的特点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口腔颌面创伤的急救原则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78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3" w:line="278" w:lineRule="auto"/>
              <w:ind w:left="106" w:leftChars="0" w:right="96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3. </w:t>
            </w:r>
            <w:r>
              <w:rPr>
                <w:sz w:val="21"/>
              </w:rPr>
              <w:t>口腔颌面部肿瘤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概论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病因与发病条件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诊断方法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治疗原则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预防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7"/>
              <w:rPr>
                <w:b/>
                <w:sz w:val="22"/>
              </w:rPr>
            </w:pPr>
          </w:p>
          <w:p>
            <w:pPr>
              <w:pStyle w:val="12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817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4"/>
              <w:rPr>
                <w:b/>
                <w:sz w:val="28"/>
              </w:rPr>
            </w:pPr>
          </w:p>
          <w:p>
            <w:pPr>
              <w:pStyle w:val="12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三叉神经痛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21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检查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治疗原则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3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17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1"/>
              <w:rPr>
                <w:b/>
                <w:sz w:val="28"/>
              </w:rPr>
            </w:pPr>
          </w:p>
          <w:p>
            <w:pPr>
              <w:pStyle w:val="12"/>
              <w:spacing w:line="278" w:lineRule="auto"/>
              <w:ind w:left="107" w:leftChars="0" w:right="97" w:rightChars="0"/>
              <w:jc w:val="both"/>
              <w:rPr>
                <w:sz w:val="2"/>
                <w:szCs w:val="2"/>
              </w:rPr>
            </w:pPr>
            <w:r>
              <w:rPr>
                <w:spacing w:val="-15"/>
                <w:sz w:val="21"/>
              </w:rPr>
              <w:t>三、口</w:t>
            </w:r>
            <w:r>
              <w:rPr>
                <w:spacing w:val="19"/>
                <w:sz w:val="21"/>
              </w:rPr>
              <w:t>腔 修</w:t>
            </w:r>
            <w:r>
              <w:rPr>
                <w:sz w:val="21"/>
              </w:rPr>
              <w:t>复学</w:t>
            </w:r>
          </w:p>
        </w:tc>
        <w:tc>
          <w:tcPr>
            <w:tcW w:w="1843" w:type="dxa"/>
            <w:vAlign w:val="top"/>
          </w:tcPr>
          <w:p>
            <w:pPr>
              <w:pStyle w:val="12"/>
              <w:spacing w:before="177" w:line="278" w:lineRule="auto"/>
              <w:ind w:left="106" w:leftChars="0" w:right="96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 </w:t>
            </w:r>
            <w:r>
              <w:rPr>
                <w:sz w:val="21"/>
              </w:rPr>
              <w:t>口腔检查与修复前准备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21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病史采集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口腔检查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修复前准备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2"/>
              <w:rPr>
                <w:b/>
                <w:sz w:val="25"/>
              </w:rPr>
            </w:pPr>
          </w:p>
          <w:p>
            <w:pPr>
              <w:pStyle w:val="12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817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4"/>
              <w:rPr>
                <w:b/>
                <w:sz w:val="16"/>
              </w:rPr>
            </w:pPr>
          </w:p>
          <w:p>
            <w:pPr>
              <w:pStyle w:val="12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牙体缺损修复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2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牙体缺损修复概述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铸造全冠的适应证与禁忌证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桩冠和桩核冠适应证与禁忌证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修复后可能出现的问题和处理原则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18"/>
              </w:rPr>
            </w:pPr>
          </w:p>
          <w:p>
            <w:pPr>
              <w:pStyle w:val="12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17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8"/>
              <w:rPr>
                <w:b/>
                <w:sz w:val="18"/>
              </w:rPr>
            </w:pPr>
          </w:p>
          <w:p>
            <w:pPr>
              <w:pStyle w:val="12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牙列缺损修复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固定义齿修复后可能出现的问题和处理原则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可摘局部义齿修复前准备和牙体预备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可摘局部义齿戴入后注意事项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8"/>
              </w:tabs>
              <w:spacing w:before="43" w:after="0" w:line="276" w:lineRule="auto"/>
              <w:ind w:left="106" w:right="97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覆盖义齿的优缺点、适应证与禁忌证义齿戴入</w:t>
            </w:r>
            <w:r>
              <w:rPr>
                <w:sz w:val="21"/>
              </w:rPr>
              <w:t>与维护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5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种植义齿的修复原则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牙列缺失修复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全口义齿的固位和稳定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全口义齿戴入后可能出现的问题和处理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78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17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27"/>
              </w:rPr>
            </w:pPr>
          </w:p>
          <w:p>
            <w:pPr>
              <w:pStyle w:val="12"/>
              <w:spacing w:line="310" w:lineRule="atLeast"/>
              <w:ind w:left="107" w:leftChars="0" w:right="97" w:rightChars="0"/>
              <w:jc w:val="both"/>
              <w:rPr>
                <w:sz w:val="2"/>
                <w:szCs w:val="2"/>
              </w:rPr>
            </w:pPr>
            <w:r>
              <w:rPr>
                <w:spacing w:val="-15"/>
                <w:sz w:val="21"/>
              </w:rPr>
              <w:t>四、口</w:t>
            </w:r>
            <w:r>
              <w:rPr>
                <w:spacing w:val="19"/>
                <w:sz w:val="21"/>
              </w:rPr>
              <w:t>腔 正</w:t>
            </w:r>
            <w:r>
              <w:rPr>
                <w:sz w:val="21"/>
              </w:rPr>
              <w:t>畸学</w:t>
            </w:r>
          </w:p>
        </w:tc>
        <w:tc>
          <w:tcPr>
            <w:tcW w:w="1843" w:type="dxa"/>
            <w:vAlign w:val="top"/>
          </w:tcPr>
          <w:p>
            <w:pPr>
              <w:pStyle w:val="12"/>
              <w:spacing w:before="22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错（牙合）畸形</w:t>
            </w:r>
          </w:p>
          <w:p>
            <w:pPr>
              <w:pStyle w:val="12"/>
              <w:spacing w:before="42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绪论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错（牙合）畸形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2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正常（牙合）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77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17" w:type="dxa"/>
            <w:vMerge w:val="continue"/>
            <w:tcBorders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spacing w:before="177" w:line="278" w:lineRule="auto"/>
              <w:ind w:left="106" w:leftChars="0" w:right="96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2. </w:t>
            </w:r>
            <w:r>
              <w:rPr>
                <w:sz w:val="21"/>
              </w:rPr>
              <w:t>颅面部的生长发育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634"/>
              </w:tabs>
              <w:spacing w:before="21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颅面和口腔生长发育的规律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影响河发育的因素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4"/>
              </w:tabs>
              <w:spacing w:before="43" w:after="0" w:line="269" w:lineRule="exact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暂时性错（牙合）表现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17" w:type="dxa"/>
            <w:vMerge w:val="continue"/>
            <w:tcBorders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spacing w:before="20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（牙合）畸形的</w:t>
            </w:r>
          </w:p>
          <w:p>
            <w:pPr>
              <w:pStyle w:val="12"/>
              <w:spacing w:before="41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病因－环境因素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634"/>
              </w:tabs>
              <w:spacing w:before="20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不良习惯导致的错（牙合）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畸形的临床表现和机制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74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spacing w:before="178" w:line="276" w:lineRule="auto"/>
              <w:ind w:left="106" w:leftChars="0" w:right="-15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4.Angle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错</w:t>
            </w:r>
            <w:r>
              <w:rPr>
                <w:sz w:val="21"/>
              </w:rPr>
              <w:t>（牙合） 分类法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634"/>
              </w:tabs>
              <w:spacing w:before="2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rFonts w:ascii="Calibri" w:hAnsi="Calibri" w:eastAsia="Calibri"/>
                <w:w w:val="95"/>
                <w:sz w:val="21"/>
              </w:rPr>
              <w:t>Angle</w:t>
            </w:r>
            <w:r>
              <w:rPr>
                <w:w w:val="95"/>
                <w:sz w:val="21"/>
              </w:rPr>
              <w:t>Ⅰ类错（牙合）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rFonts w:ascii="Calibri" w:hAnsi="Calibri" w:eastAsia="Calibri"/>
                <w:w w:val="95"/>
                <w:sz w:val="21"/>
              </w:rPr>
              <w:t>Angle</w:t>
            </w:r>
            <w:r>
              <w:rPr>
                <w:w w:val="95"/>
                <w:sz w:val="21"/>
              </w:rPr>
              <w:t>Ⅱ类错（牙合）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rFonts w:ascii="Calibri" w:hAnsi="Calibri" w:eastAsia="Calibri"/>
                <w:w w:val="95"/>
                <w:sz w:val="21"/>
              </w:rPr>
              <w:t>Angle</w:t>
            </w:r>
            <w:r>
              <w:rPr>
                <w:w w:val="95"/>
                <w:sz w:val="21"/>
              </w:rPr>
              <w:t>Ⅲ类错（牙合）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2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78" w:lineRule="auto"/>
              <w:ind w:left="106" w:leftChars="0" w:right="96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5. </w:t>
            </w:r>
            <w:r>
              <w:rPr>
                <w:sz w:val="21"/>
              </w:rPr>
              <w:t>诊断与治疗方法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）</w:t>
            </w:r>
            <w:r>
              <w:rPr>
                <w:rFonts w:ascii="Calibri" w:eastAsia="Calibri"/>
                <w:sz w:val="21"/>
              </w:rPr>
              <w:t xml:space="preserve">X </w:t>
            </w:r>
            <w:r>
              <w:rPr>
                <w:sz w:val="21"/>
              </w:rPr>
              <w:t>线头影测量分析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乳牙期矫治适应证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替牙期矫治适应证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乳牙期和替牙期的矫治方法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2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6.</w:t>
            </w:r>
            <w:r>
              <w:rPr>
                <w:sz w:val="21"/>
              </w:rPr>
              <w:t>矫治器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634"/>
              </w:tabs>
              <w:spacing w:before="21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z w:val="21"/>
              </w:rPr>
              <w:t>矫治器的定义、性能的基本要求和类型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sz w:val="21"/>
              </w:rPr>
              <w:t>不同矫治器的优、缺点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78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2"/>
              <w:spacing w:before="21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7.</w:t>
            </w:r>
            <w:r>
              <w:rPr>
                <w:sz w:val="21"/>
              </w:rPr>
              <w:t>错（牙合）畸形</w:t>
            </w:r>
          </w:p>
          <w:p>
            <w:pPr>
              <w:pStyle w:val="12"/>
              <w:spacing w:before="43"/>
              <w:ind w:left="106" w:leftChars="0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的矫治</w:t>
            </w:r>
          </w:p>
        </w:tc>
        <w:tc>
          <w:tcPr>
            <w:tcW w:w="4961" w:type="dxa"/>
            <w:vAlign w:val="top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634"/>
              </w:tabs>
              <w:spacing w:before="21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预防性矫治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28" w:firstLineChars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阻断性矫治</w:t>
            </w:r>
          </w:p>
        </w:tc>
        <w:tc>
          <w:tcPr>
            <w:tcW w:w="901" w:type="dxa"/>
            <w:vAlign w:val="top"/>
          </w:tcPr>
          <w:p>
            <w:pPr>
              <w:pStyle w:val="12"/>
              <w:spacing w:before="177"/>
              <w:ind w:left="106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spacing w:before="4" w:after="1" w:line="240" w:lineRule="auto"/>
        <w:rPr>
          <w:b/>
          <w:sz w:val="10"/>
        </w:rPr>
      </w:pPr>
    </w:p>
    <w:p/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">
    <w:nsid w:val="8CAEB125"/>
    <w:multiLevelType w:val="multilevel"/>
    <w:tmpl w:val="8CAEB125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4">
    <w:nsid w:val="BB64CFA9"/>
    <w:multiLevelType w:val="multilevel"/>
    <w:tmpl w:val="BB64CFA9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5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6">
    <w:nsid w:val="E093A4B0"/>
    <w:multiLevelType w:val="multilevel"/>
    <w:tmpl w:val="E093A4B0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7">
    <w:nsid w:val="F7735DC9"/>
    <w:multiLevelType w:val="multilevel"/>
    <w:tmpl w:val="F7735DC9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8">
    <w:nsid w:val="0709FD3E"/>
    <w:multiLevelType w:val="multilevel"/>
    <w:tmpl w:val="0709FD3E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9">
    <w:nsid w:val="0CEF100B"/>
    <w:multiLevelType w:val="multilevel"/>
    <w:tmpl w:val="0CEF100B"/>
    <w:lvl w:ilvl="0" w:tentative="0">
      <w:start w:val="2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0">
    <w:nsid w:val="1ACDE60F"/>
    <w:multiLevelType w:val="multilevel"/>
    <w:tmpl w:val="1ACDE60F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1">
    <w:nsid w:val="30FC5B15"/>
    <w:multiLevelType w:val="multilevel"/>
    <w:tmpl w:val="30FC5B15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2">
    <w:nsid w:val="322D85CA"/>
    <w:multiLevelType w:val="multilevel"/>
    <w:tmpl w:val="322D85CA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3">
    <w:nsid w:val="32A7AF2D"/>
    <w:multiLevelType w:val="multilevel"/>
    <w:tmpl w:val="32A7AF2D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4">
    <w:nsid w:val="4C3D7A74"/>
    <w:multiLevelType w:val="multilevel"/>
    <w:tmpl w:val="4C3D7A74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5">
    <w:nsid w:val="5E29AB5A"/>
    <w:multiLevelType w:val="multilevel"/>
    <w:tmpl w:val="5E29AB5A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6">
    <w:nsid w:val="5FFFB1A7"/>
    <w:multiLevelType w:val="multilevel"/>
    <w:tmpl w:val="5FFFB1A7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7">
    <w:nsid w:val="65CD0074"/>
    <w:multiLevelType w:val="multilevel"/>
    <w:tmpl w:val="65CD0074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8">
    <w:nsid w:val="74C28B35"/>
    <w:multiLevelType w:val="multilevel"/>
    <w:tmpl w:val="74C28B35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abstractNum w:abstractNumId="19">
    <w:nsid w:val="79AA4FA4"/>
    <w:multiLevelType w:val="multilevel"/>
    <w:tmpl w:val="79AA4FA4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1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57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88" w:hanging="527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9"/>
  </w:num>
  <w:num w:numId="5">
    <w:abstractNumId w:val="4"/>
  </w:num>
  <w:num w:numId="6">
    <w:abstractNumId w:val="2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"/>
  </w:num>
  <w:num w:numId="12">
    <w:abstractNumId w:val="16"/>
  </w:num>
  <w:num w:numId="13">
    <w:abstractNumId w:val="18"/>
  </w:num>
  <w:num w:numId="14">
    <w:abstractNumId w:val="14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4DD4337"/>
    <w:rsid w:val="279428D1"/>
    <w:rsid w:val="2DFC5FBC"/>
    <w:rsid w:val="33AB1A5E"/>
    <w:rsid w:val="3ACB4C2F"/>
    <w:rsid w:val="3B8064B4"/>
    <w:rsid w:val="3C7324C0"/>
    <w:rsid w:val="3F65494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2018-12-26T04:09:15Z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