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797" w:right="0" w:firstLine="0"/>
        <w:jc w:val="left"/>
        <w:rPr>
          <w:b/>
          <w:sz w:val="21"/>
        </w:rPr>
      </w:pPr>
      <w:bookmarkStart w:id="0" w:name="_GoBack"/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血液病学主治医师专业知识大纲</w:t>
      </w:r>
    </w:p>
    <w:bookmarkEnd w:id="0"/>
    <w:p>
      <w:pPr>
        <w:jc w:val="center"/>
        <w:rPr>
          <w:b/>
          <w:bCs/>
        </w:rPr>
      </w:pPr>
    </w:p>
    <w:p>
      <w:pPr>
        <w:spacing w:before="0"/>
        <w:ind w:left="620" w:right="0" w:firstLine="0"/>
        <w:jc w:val="left"/>
        <w:rPr>
          <w:sz w:val="21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 xml:space="preserve">为 </w:t>
      </w:r>
      <w:r>
        <w:rPr>
          <w:rFonts w:ascii="Arial" w:eastAsia="Arial"/>
          <w:sz w:val="21"/>
        </w:rPr>
        <w:t xml:space="preserve">310 </w:t>
      </w:r>
      <w:r>
        <w:rPr>
          <w:sz w:val="21"/>
        </w:rPr>
        <w:t>内科学专业知识考核内容</w:t>
      </w:r>
    </w:p>
    <w:p>
      <w:pPr>
        <w:jc w:val="center"/>
        <w:rPr>
          <w:sz w:val="21"/>
        </w:rPr>
      </w:pPr>
    </w:p>
    <w:tbl>
      <w:tblPr>
        <w:tblStyle w:val="10"/>
        <w:tblW w:w="8331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2335"/>
        <w:gridCol w:w="2834"/>
        <w:gridCol w:w="748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2335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9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2834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748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9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414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44"/>
              <w:ind w:left="6"/>
              <w:rPr>
                <w:sz w:val="21"/>
              </w:rPr>
            </w:pPr>
            <w:r>
              <w:rPr>
                <w:sz w:val="21"/>
              </w:rPr>
              <w:t>一、贫血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2"/>
              <w:rPr>
                <w:sz w:val="20"/>
              </w:rPr>
            </w:pPr>
          </w:p>
          <w:p>
            <w:pPr>
              <w:pStyle w:val="14"/>
              <w:ind w:left="9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贫血概论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诊断标准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分类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诊断步骤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4" w:after="0" w:line="332" w:lineRule="exact"/>
              <w:ind w:left="3" w:right="-15" w:firstLine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治疗原则、输血指征及 </w:t>
            </w:r>
            <w:r>
              <w:rPr>
                <w:spacing w:val="-4"/>
                <w:sz w:val="21"/>
              </w:rPr>
              <w:t>注意事项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2"/>
              <w:rPr>
                <w:sz w:val="28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241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5"/>
              <w:rPr>
                <w:sz w:val="20"/>
              </w:rPr>
            </w:pPr>
          </w:p>
          <w:p>
            <w:pPr>
              <w:pStyle w:val="14"/>
              <w:ind w:left="9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缺铁性贫血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5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铁代谢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5"/>
              <w:rPr>
                <w:sz w:val="28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41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巨幼细胞贫血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诊断及鉴别诊断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6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241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1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再生障碍性贫血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分型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2"/>
              </w:tabs>
              <w:spacing w:before="60" w:after="0" w:line="295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急性再障和慢性再障的</w:t>
            </w:r>
            <w:r>
              <w:rPr>
                <w:spacing w:val="-4"/>
                <w:sz w:val="21"/>
              </w:rPr>
              <w:t>临床表现及实验室检查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0" w:after="0" w:line="267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9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41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sz w:val="30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慢性疾病性贫血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3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2414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二、溶血性贫血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2"/>
              <w:rPr>
                <w:sz w:val="33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溶血性贫血概述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发病机制与分类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诊断步骤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溶血的实验室检查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2"/>
              </w:tabs>
              <w:spacing w:before="62" w:after="0" w:line="292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确定溶血性贫血原因的</w:t>
            </w:r>
            <w:r>
              <w:rPr>
                <w:spacing w:val="-4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3" w:after="0" w:line="24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2"/>
              <w:rPr>
                <w:sz w:val="21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遗传性球形细胞增多症</w:t>
            </w:r>
          </w:p>
        </w:tc>
        <w:tc>
          <w:tcPr>
            <w:tcW w:w="283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5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2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2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临床类型和防治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3" w:line="292" w:lineRule="auto"/>
              <w:ind w:left="9" w:right="284"/>
              <w:rPr>
                <w:sz w:val="21"/>
              </w:rPr>
            </w:pPr>
            <w:r>
              <w:rPr>
                <w:spacing w:val="-9"/>
                <w:sz w:val="21"/>
              </w:rPr>
              <w:t>了解了解</w:t>
            </w:r>
          </w:p>
          <w:p>
            <w:pPr>
              <w:pStyle w:val="14"/>
              <w:spacing w:before="3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4"/>
              <w:spacing w:before="3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</w:tcBorders>
            <w:vAlign w:val="top"/>
          </w:tcPr>
          <w:p>
            <w:pPr>
              <w:pStyle w:val="14"/>
              <w:spacing w:before="5" w:line="328" w:lineRule="exact"/>
              <w:ind w:left="9" w:leftChars="0" w:right="171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葡萄糖</w:t>
            </w:r>
            <w:r>
              <w:rPr>
                <w:rFonts w:ascii="Arial" w:eastAsia="Arial"/>
                <w:sz w:val="21"/>
              </w:rPr>
              <w:t>-6-</w:t>
            </w:r>
            <w:r>
              <w:rPr>
                <w:sz w:val="21"/>
              </w:rPr>
              <w:t>磷酸脱氢酶缺乏症</w:t>
            </w:r>
          </w:p>
        </w:tc>
        <w:tc>
          <w:tcPr>
            <w:tcW w:w="2834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异常血红蛋白病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海洋性贫血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5" w:line="328" w:lineRule="exact"/>
              <w:ind w:left="9" w:leftChars="0" w:right="284" w:rightChars="0"/>
              <w:rPr>
                <w:sz w:val="21"/>
              </w:rPr>
            </w:pPr>
            <w:r>
              <w:rPr>
                <w:sz w:val="21"/>
              </w:rPr>
              <w:t>了解掌握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"/>
              <w:rPr>
                <w:sz w:val="19"/>
              </w:rPr>
            </w:pPr>
          </w:p>
          <w:p>
            <w:pPr>
              <w:pStyle w:val="14"/>
              <w:spacing w:before="1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血红蛋白病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56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23"/>
              </w:rPr>
            </w:pPr>
          </w:p>
          <w:p>
            <w:pPr>
              <w:pStyle w:val="14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自身免疫性溶血性贫血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2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了解熟悉熟悉熟悉</w:t>
            </w:r>
          </w:p>
          <w:p>
            <w:pPr>
              <w:pStyle w:val="14"/>
              <w:spacing w:before="7" w:line="252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0" w:line="295" w:lineRule="auto"/>
              <w:ind w:left="9" w:leftChars="0" w:right="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阵发性睡眠性血红蛋白尿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23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tcBorders>
              <w:left w:val="single" w:color="EFEFEF" w:sz="12" w:space="0"/>
              <w:right w:val="single" w:color="9F9F9F" w:sz="12" w:space="0"/>
            </w:tcBorders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6"/>
              </w:rPr>
            </w:pPr>
          </w:p>
          <w:p>
            <w:pPr>
              <w:pStyle w:val="14"/>
              <w:spacing w:line="295" w:lineRule="auto"/>
              <w:ind w:left="6" w:leftChars="0" w:right="61" w:rightChars="0"/>
              <w:rPr>
                <w:sz w:val="2"/>
                <w:szCs w:val="2"/>
              </w:rPr>
            </w:pPr>
            <w:r>
              <w:rPr>
                <w:sz w:val="21"/>
              </w:rPr>
              <w:t>三、白细胞减少和粒细胞缺乏症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定义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2"/>
              <w:rPr>
                <w:sz w:val="28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restart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9"/>
              <w:rPr>
                <w:sz w:val="22"/>
              </w:rPr>
            </w:pPr>
          </w:p>
          <w:p>
            <w:pPr>
              <w:pStyle w:val="14"/>
              <w:ind w:left="6" w:leftChars="0"/>
              <w:rPr>
                <w:sz w:val="2"/>
                <w:szCs w:val="2"/>
              </w:rPr>
            </w:pPr>
            <w:r>
              <w:rPr>
                <w:sz w:val="21"/>
              </w:rPr>
              <w:t>四、白血病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急性白血病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FAB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pacing w:val="-27"/>
                <w:sz w:val="21"/>
              </w:rPr>
              <w:t xml:space="preserve">和 </w:t>
            </w:r>
            <w:r>
              <w:rPr>
                <w:rFonts w:ascii="Arial" w:eastAsia="Arial"/>
                <w:sz w:val="21"/>
              </w:rPr>
              <w:t>MIC</w:t>
            </w:r>
            <w:r>
              <w:rPr>
                <w:rFonts w:ascii="Arial" w:eastAsia="Arial"/>
                <w:spacing w:val="-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分类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血象和骨髓象特征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2"/>
              </w:tabs>
              <w:spacing w:before="60" w:after="0" w:line="295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细胞化学染色在分型中</w:t>
            </w:r>
            <w:r>
              <w:rPr>
                <w:spacing w:val="-5"/>
                <w:sz w:val="21"/>
              </w:rPr>
              <w:t>的意义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0" w:after="0" w:line="267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治疗原则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常用化疗方案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2"/>
              </w:tabs>
              <w:spacing w:before="60" w:after="0" w:line="295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中枢神经系统白血病防</w:t>
            </w:r>
            <w:r>
              <w:rPr>
                <w:spacing w:val="-5"/>
                <w:sz w:val="21"/>
              </w:rPr>
              <w:t>治方法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0" w:after="0" w:line="24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骨髓移植指征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6"/>
              <w:rPr>
                <w:sz w:val="20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33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慢性粒细胞白血病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5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典型病例的临床特点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2" w:after="0" w:line="292" w:lineRule="auto"/>
              <w:ind w:left="3" w:right="52" w:firstLine="0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Ph</w:t>
            </w:r>
            <w:r>
              <w:rPr>
                <w:rFonts w:ascii="Arial" w:eastAsia="Arial"/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染色体和分子生物学</w:t>
            </w:r>
            <w:r>
              <w:rPr>
                <w:sz w:val="21"/>
              </w:rPr>
              <w:t>标记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4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临床分期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2"/>
              </w:tabs>
              <w:spacing w:before="59" w:after="0" w:line="295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诊断及其与类白血病反</w:t>
            </w:r>
            <w:r>
              <w:rPr>
                <w:spacing w:val="-4"/>
                <w:sz w:val="21"/>
              </w:rPr>
              <w:t>应鉴别要点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0" w:after="0" w:line="24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spacing w:before="1" w:line="295" w:lineRule="auto"/>
              <w:ind w:left="9" w:leftChars="0" w:right="284" w:rightChars="0"/>
              <w:jc w:val="both"/>
              <w:rPr>
                <w:sz w:val="21"/>
              </w:rPr>
            </w:pPr>
            <w:r>
              <w:rPr>
                <w:sz w:val="21"/>
              </w:rPr>
              <w:t>熟悉熟悉掌握掌握掌握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慢性淋巴细胞白血病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定义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3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2"/>
              <w:rPr>
                <w:sz w:val="20"/>
              </w:rPr>
            </w:pPr>
          </w:p>
          <w:p>
            <w:pPr>
              <w:pStyle w:val="14"/>
              <w:spacing w:line="295" w:lineRule="auto"/>
              <w:ind w:left="6" w:leftChars="0" w:right="61" w:rightChars="0"/>
              <w:rPr>
                <w:sz w:val="2"/>
                <w:szCs w:val="2"/>
              </w:rPr>
            </w:pPr>
            <w:r>
              <w:rPr>
                <w:sz w:val="21"/>
              </w:rPr>
              <w:t>五、骨髓增生症异常综合征（</w:t>
            </w:r>
            <w:r>
              <w:rPr>
                <w:rFonts w:ascii="Arial" w:eastAsia="Arial"/>
                <w:sz w:val="21"/>
              </w:rPr>
              <w:t>MDS</w:t>
            </w:r>
            <w:r>
              <w:rPr>
                <w:sz w:val="21"/>
              </w:rPr>
              <w:t>）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定义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FAB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分型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rFonts w:ascii="Arial" w:eastAsia="Arial"/>
                <w:spacing w:val="-2"/>
                <w:sz w:val="21"/>
              </w:rPr>
              <w:t>MDS</w:t>
            </w:r>
            <w:r>
              <w:rPr>
                <w:rFonts w:ascii="Arial" w:eastAsia="Arial"/>
                <w:spacing w:val="-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的病态造血表现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熟悉熟悉熟悉掌握掌握掌握</w:t>
            </w:r>
          </w:p>
          <w:p>
            <w:pPr>
              <w:pStyle w:val="14"/>
              <w:spacing w:line="246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9"/>
              </w:rPr>
            </w:pPr>
          </w:p>
          <w:p>
            <w:pPr>
              <w:pStyle w:val="14"/>
              <w:ind w:left="6" w:leftChars="0"/>
              <w:rPr>
                <w:sz w:val="2"/>
                <w:szCs w:val="2"/>
              </w:rPr>
            </w:pPr>
            <w:r>
              <w:rPr>
                <w:sz w:val="21"/>
              </w:rPr>
              <w:t>六、淋巴瘤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病因与发病机制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基本病理分类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临床分期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9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6"/>
              </w:rPr>
            </w:pPr>
          </w:p>
          <w:p>
            <w:pPr>
              <w:pStyle w:val="14"/>
              <w:ind w:left="6" w:leftChars="0"/>
              <w:rPr>
                <w:sz w:val="2"/>
                <w:szCs w:val="2"/>
              </w:rPr>
            </w:pPr>
            <w:r>
              <w:rPr>
                <w:sz w:val="21"/>
              </w:rPr>
              <w:t>七、多发性骨髓瘤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病理生理和临床表现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2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4"/>
              <w:spacing w:before="7" w:line="252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14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16"/>
              </w:rPr>
            </w:pPr>
          </w:p>
          <w:p>
            <w:pPr>
              <w:pStyle w:val="14"/>
              <w:ind w:left="6" w:leftChars="0"/>
              <w:rPr>
                <w:sz w:val="2"/>
                <w:szCs w:val="2"/>
              </w:rPr>
            </w:pPr>
            <w:r>
              <w:rPr>
                <w:sz w:val="21"/>
              </w:rPr>
              <w:t>八、恶性组织细胞病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病理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2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4"/>
              <w:spacing w:before="7" w:line="252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/>
    <w:tbl>
      <w:tblPr>
        <w:tblStyle w:val="10"/>
        <w:tblW w:w="8331" w:type="dxa"/>
        <w:tblInd w:w="148" w:type="dxa"/>
        <w:tblBorders>
          <w:top w:val="single" w:color="EFEFEF" w:sz="12" w:space="0"/>
          <w:left w:val="single" w:color="EFEFEF" w:sz="12" w:space="0"/>
          <w:bottom w:val="single" w:color="EFEFEF" w:sz="12" w:space="0"/>
          <w:right w:val="single" w:color="EFEFEF" w:sz="12" w:space="0"/>
          <w:insideH w:val="single" w:color="EFEFEF" w:sz="12" w:space="0"/>
          <w:insideV w:val="single" w:color="EFEFE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2335"/>
        <w:gridCol w:w="2834"/>
        <w:gridCol w:w="748"/>
      </w:tblGrid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8331" w:type="dxa"/>
            <w:gridSpan w:val="4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"/>
              <w:rPr>
                <w:sz w:val="6"/>
              </w:rPr>
            </w:pPr>
          </w:p>
          <w:p>
            <w:pPr>
              <w:pStyle w:val="14"/>
              <w:ind w:left="36" w:right="-52"/>
              <w:rPr>
                <w:sz w:val="20"/>
              </w:rPr>
            </w:pPr>
            <w:r>
              <w:drawing>
                <wp:inline distT="0" distB="0" distL="114300" distR="114300">
                  <wp:extent cx="5270500" cy="2072640"/>
                  <wp:effectExtent l="0" t="0" r="6350" b="3810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十、脾功能亢进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1"/>
              </w:numPr>
              <w:spacing w:before="58" w:line="243" w:lineRule="exact"/>
              <w:ind w:left="3"/>
              <w:rPr>
                <w:sz w:val="21"/>
              </w:rPr>
            </w:pPr>
            <w:r>
              <w:rPr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临床表现和实验室检查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Merge w:val="restart"/>
            <w:tcBorders>
              <w:top w:val="single" w:color="9F9F9F" w:sz="12" w:space="0"/>
              <w:bottom w:val="double" w:color="9F9F9F" w:sz="2" w:space="0"/>
              <w:right w:val="single" w:color="9F9F9F" w:sz="12" w:space="0"/>
            </w:tcBorders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8"/>
              </w:rPr>
            </w:pPr>
          </w:p>
          <w:p>
            <w:pPr>
              <w:pStyle w:val="14"/>
              <w:ind w:left="6" w:leftChars="0"/>
              <w:rPr>
                <w:sz w:val="21"/>
              </w:rPr>
            </w:pPr>
            <w:r>
              <w:rPr>
                <w:sz w:val="21"/>
              </w:rPr>
              <w:t>十一、出血性疾病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  <w:vAlign w:val="top"/>
          </w:tcPr>
          <w:p>
            <w:pPr>
              <w:pStyle w:val="14"/>
              <w:spacing w:before="2"/>
              <w:rPr>
                <w:sz w:val="30"/>
              </w:rPr>
            </w:pPr>
          </w:p>
          <w:p>
            <w:pPr>
              <w:pStyle w:val="14"/>
              <w:ind w:left="9" w:lef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概述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834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正常止血和凝血机制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12" w:space="0"/>
            </w:tcBorders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0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2"/>
              <w:rPr>
                <w:sz w:val="20"/>
              </w:rPr>
            </w:pPr>
          </w:p>
          <w:p>
            <w:pPr>
              <w:pStyle w:val="14"/>
              <w:ind w:left="9" w:lef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过敏性紫癜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熟悉熟悉掌握掌握掌握</w:t>
            </w:r>
          </w:p>
          <w:p>
            <w:pPr>
              <w:pStyle w:val="14"/>
              <w:spacing w:line="246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 w:line="295" w:lineRule="auto"/>
              <w:ind w:left="9" w:leftChars="0" w:right="7" w:righ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特发性血小板减少性紫癜（</w:t>
            </w:r>
            <w:r>
              <w:rPr>
                <w:rFonts w:ascii="Arial" w:eastAsia="Arial"/>
                <w:sz w:val="21"/>
              </w:rPr>
              <w:t>ITP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3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9" w:lef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血友病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病因与遗传规律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治疗和预防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熟悉熟悉掌握掌握</w:t>
            </w:r>
          </w:p>
          <w:p>
            <w:pPr>
              <w:pStyle w:val="14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"/>
              <w:rPr>
                <w:sz w:val="32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弥漫性血管内凝血</w:t>
            </w:r>
          </w:p>
          <w:p>
            <w:pPr>
              <w:pStyle w:val="14"/>
              <w:spacing w:before="62"/>
              <w:ind w:left="9" w:leftChars="0"/>
              <w:rPr>
                <w:rFonts w:ascii="Times New Roman"/>
                <w:sz w:val="20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DIC</w:t>
            </w:r>
            <w:r>
              <w:rPr>
                <w:sz w:val="21"/>
              </w:rPr>
              <w:t>）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熟悉熟悉掌握掌握掌握</w:t>
            </w:r>
          </w:p>
          <w:p>
            <w:pPr>
              <w:pStyle w:val="14"/>
              <w:spacing w:line="249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23"/>
              </w:rPr>
            </w:pPr>
          </w:p>
          <w:p>
            <w:pPr>
              <w:pStyle w:val="14"/>
              <w:spacing w:line="295" w:lineRule="auto"/>
              <w:ind w:left="9" w:leftChars="0" w:right="7" w:righ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血栓性血小板减少性紫癜</w:t>
            </w: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6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2"/>
              <w:rPr>
                <w:sz w:val="23"/>
              </w:rPr>
            </w:pPr>
          </w:p>
          <w:p>
            <w:pPr>
              <w:pStyle w:val="14"/>
              <w:ind w:left="6" w:leftChars="0"/>
              <w:rPr>
                <w:sz w:val="21"/>
              </w:rPr>
            </w:pPr>
            <w:r>
              <w:rPr>
                <w:sz w:val="21"/>
              </w:rPr>
              <w:t>十二、输血与输血反应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适应证、禁忌证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2"/>
              </w:tabs>
              <w:spacing w:before="60" w:after="0" w:line="295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成分输血的适应证与临</w:t>
            </w:r>
            <w:r>
              <w:rPr>
                <w:spacing w:val="-5"/>
                <w:sz w:val="21"/>
              </w:rPr>
              <w:t>床应用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0" w:after="0" w:line="250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输血反应与处理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2"/>
              <w:rPr>
                <w:sz w:val="23"/>
              </w:rPr>
            </w:pPr>
          </w:p>
          <w:p>
            <w:pPr>
              <w:pStyle w:val="14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4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16"/>
              </w:rPr>
            </w:pPr>
          </w:p>
          <w:p>
            <w:pPr>
              <w:pStyle w:val="14"/>
              <w:spacing w:line="295" w:lineRule="auto"/>
              <w:ind w:left="6" w:leftChars="0" w:right="61" w:rightChars="0"/>
              <w:rPr>
                <w:sz w:val="21"/>
              </w:rPr>
            </w:pPr>
            <w:r>
              <w:rPr>
                <w:sz w:val="21"/>
              </w:rPr>
              <w:t>十三、骨髓穿刺和骨髓涂片细胞学检查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107" w:leftChars="0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骨髓穿刺部位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2"/>
              </w:tabs>
              <w:spacing w:before="62" w:after="0" w:line="292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骨髓液吸取和涂片注意</w:t>
            </w:r>
            <w:r>
              <w:rPr>
                <w:spacing w:val="-6"/>
                <w:sz w:val="21"/>
              </w:rPr>
              <w:t>事项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4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骨髓穿刺的禁忌证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2"/>
              </w:tabs>
              <w:spacing w:before="4" w:after="0" w:line="332" w:lineRule="exact"/>
              <w:ind w:left="3" w:leftChars="0" w:right="-15" w:rightChars="0" w:firstLine="0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骨髓涂片细胞学检查的</w:t>
            </w:r>
            <w:r>
              <w:rPr>
                <w:spacing w:val="-7"/>
                <w:sz w:val="21"/>
              </w:rPr>
              <w:t>内容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3" w:line="292" w:lineRule="auto"/>
              <w:ind w:left="9" w:leftChars="0" w:right="284" w:rightChars="0"/>
              <w:jc w:val="both"/>
              <w:rPr>
                <w:sz w:val="21"/>
              </w:rPr>
            </w:pPr>
            <w:r>
              <w:rPr>
                <w:sz w:val="21"/>
              </w:rPr>
              <w:t>掌握掌握掌握熟悉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">
    <w:nsid w:val="8CAEB125"/>
    <w:multiLevelType w:val="multilevel"/>
    <w:tmpl w:val="8CAEB12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">
    <w:nsid w:val="A0F05207"/>
    <w:multiLevelType w:val="multilevel"/>
    <w:tmpl w:val="A0F0520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3">
    <w:nsid w:val="B23A94A9"/>
    <w:multiLevelType w:val="multilevel"/>
    <w:tmpl w:val="B23A94A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4">
    <w:nsid w:val="B53F3350"/>
    <w:multiLevelType w:val="multilevel"/>
    <w:tmpl w:val="B53F3350"/>
    <w:lvl w:ilvl="0" w:tentative="0">
      <w:start w:val="3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5">
    <w:nsid w:val="C0915F4F"/>
    <w:multiLevelType w:val="multilevel"/>
    <w:tmpl w:val="C0915F4F"/>
    <w:lvl w:ilvl="0" w:tentative="0">
      <w:start w:val="2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6">
    <w:nsid w:val="CF5845C9"/>
    <w:multiLevelType w:val="singleLevel"/>
    <w:tmpl w:val="CF5845C9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8">
    <w:nsid w:val="F0E89278"/>
    <w:multiLevelType w:val="multilevel"/>
    <w:tmpl w:val="F0E89278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9">
    <w:nsid w:val="F689643B"/>
    <w:multiLevelType w:val="multilevel"/>
    <w:tmpl w:val="F689643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0">
    <w:nsid w:val="FEC2EA36"/>
    <w:multiLevelType w:val="multilevel"/>
    <w:tmpl w:val="FEC2EA3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1">
    <w:nsid w:val="03A63A41"/>
    <w:multiLevelType w:val="multilevel"/>
    <w:tmpl w:val="03A63A41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2">
    <w:nsid w:val="0709FD3E"/>
    <w:multiLevelType w:val="multilevel"/>
    <w:tmpl w:val="0709FD3E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3">
    <w:nsid w:val="0CEF100B"/>
    <w:multiLevelType w:val="multilevel"/>
    <w:tmpl w:val="0CEF100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4">
    <w:nsid w:val="0F9F9CCA"/>
    <w:multiLevelType w:val="multilevel"/>
    <w:tmpl w:val="0F9F9CC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5">
    <w:nsid w:val="12EADF99"/>
    <w:multiLevelType w:val="multilevel"/>
    <w:tmpl w:val="12EADF9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6">
    <w:nsid w:val="18F74015"/>
    <w:multiLevelType w:val="multilevel"/>
    <w:tmpl w:val="18F7401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7">
    <w:nsid w:val="1ACDE60F"/>
    <w:multiLevelType w:val="multilevel"/>
    <w:tmpl w:val="1ACDE60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8">
    <w:nsid w:val="1C257C7B"/>
    <w:multiLevelType w:val="multilevel"/>
    <w:tmpl w:val="1C257C7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19">
    <w:nsid w:val="23E97754"/>
    <w:multiLevelType w:val="multilevel"/>
    <w:tmpl w:val="23E9775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0">
    <w:nsid w:val="30A0AC00"/>
    <w:multiLevelType w:val="multilevel"/>
    <w:tmpl w:val="30A0AC00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1">
    <w:nsid w:val="322D85CA"/>
    <w:multiLevelType w:val="multilevel"/>
    <w:tmpl w:val="322D85C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2">
    <w:nsid w:val="32A7AF2D"/>
    <w:multiLevelType w:val="multilevel"/>
    <w:tmpl w:val="32A7AF2D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3">
    <w:nsid w:val="35E83B33"/>
    <w:multiLevelType w:val="multilevel"/>
    <w:tmpl w:val="35E83B33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4">
    <w:nsid w:val="3B8127DF"/>
    <w:multiLevelType w:val="multilevel"/>
    <w:tmpl w:val="3B8127D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5">
    <w:nsid w:val="40B249F9"/>
    <w:multiLevelType w:val="multilevel"/>
    <w:tmpl w:val="40B249F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6">
    <w:nsid w:val="4C3D7A74"/>
    <w:multiLevelType w:val="multilevel"/>
    <w:tmpl w:val="4C3D7A7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7">
    <w:nsid w:val="5FFFB1A7"/>
    <w:multiLevelType w:val="multilevel"/>
    <w:tmpl w:val="5FFFB1A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8">
    <w:nsid w:val="65CD0074"/>
    <w:multiLevelType w:val="multilevel"/>
    <w:tmpl w:val="65CD007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abstractNum w:abstractNumId="29">
    <w:nsid w:val="74C28B35"/>
    <w:multiLevelType w:val="multilevel"/>
    <w:tmpl w:val="74C28B3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5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1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68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45" w:hanging="54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7"/>
  </w:num>
  <w:num w:numId="5">
    <w:abstractNumId w:val="29"/>
  </w:num>
  <w:num w:numId="6">
    <w:abstractNumId w:val="26"/>
  </w:num>
  <w:num w:numId="7">
    <w:abstractNumId w:val="21"/>
  </w:num>
  <w:num w:numId="8">
    <w:abstractNumId w:val="28"/>
  </w:num>
  <w:num w:numId="9">
    <w:abstractNumId w:val="12"/>
  </w:num>
  <w:num w:numId="10">
    <w:abstractNumId w:val="13"/>
  </w:num>
  <w:num w:numId="11">
    <w:abstractNumId w:val="7"/>
  </w:num>
  <w:num w:numId="12">
    <w:abstractNumId w:val="22"/>
  </w:num>
  <w:num w:numId="13">
    <w:abstractNumId w:val="18"/>
  </w:num>
  <w:num w:numId="14">
    <w:abstractNumId w:val="8"/>
  </w:num>
  <w:num w:numId="15">
    <w:abstractNumId w:val="19"/>
  </w:num>
  <w:num w:numId="16">
    <w:abstractNumId w:val="4"/>
  </w:num>
  <w:num w:numId="17">
    <w:abstractNumId w:val="25"/>
  </w:num>
  <w:num w:numId="18">
    <w:abstractNumId w:val="14"/>
  </w:num>
  <w:num w:numId="19">
    <w:abstractNumId w:val="23"/>
  </w:num>
  <w:num w:numId="20">
    <w:abstractNumId w:val="11"/>
  </w:num>
  <w:num w:numId="21">
    <w:abstractNumId w:val="6"/>
  </w:num>
  <w:num w:numId="22">
    <w:abstractNumId w:val="5"/>
  </w:num>
  <w:num w:numId="23">
    <w:abstractNumId w:val="15"/>
  </w:num>
  <w:num w:numId="24">
    <w:abstractNumId w:val="3"/>
  </w:num>
  <w:num w:numId="25">
    <w:abstractNumId w:val="24"/>
  </w:num>
  <w:num w:numId="26">
    <w:abstractNumId w:val="2"/>
  </w:num>
  <w:num w:numId="27">
    <w:abstractNumId w:val="9"/>
  </w:num>
  <w:num w:numId="28">
    <w:abstractNumId w:val="20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A8940EE"/>
    <w:rsid w:val="0EFA7846"/>
    <w:rsid w:val="10314DA7"/>
    <w:rsid w:val="10B0561E"/>
    <w:rsid w:val="279428D1"/>
    <w:rsid w:val="29EA5399"/>
    <w:rsid w:val="2DFC5FBC"/>
    <w:rsid w:val="31B1685E"/>
    <w:rsid w:val="33AB1A5E"/>
    <w:rsid w:val="392C1789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60A053F"/>
    <w:rsid w:val="49A80612"/>
    <w:rsid w:val="4A1965BA"/>
    <w:rsid w:val="4BBA02F3"/>
    <w:rsid w:val="4CFB1E35"/>
    <w:rsid w:val="4DB56E60"/>
    <w:rsid w:val="4DC97C5F"/>
    <w:rsid w:val="51146DD2"/>
    <w:rsid w:val="59506F39"/>
    <w:rsid w:val="605666FD"/>
    <w:rsid w:val="66D25C14"/>
    <w:rsid w:val="6BA56793"/>
    <w:rsid w:val="73DC2906"/>
    <w:rsid w:val="771948AC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2018-11-26T03:37:04Z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